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EB" w:rsidRPr="00953FEB" w:rsidRDefault="00953FEB" w:rsidP="00953FEB">
      <w:pPr>
        <w:bidi/>
        <w:spacing w:after="0" w:line="480" w:lineRule="auto"/>
        <w:rPr>
          <w:rFonts w:ascii="Times New Roman" w:hAnsi="Times New Roman" w:cs="Times New Roman"/>
          <w:sz w:val="24"/>
          <w:szCs w:val="24"/>
          <w:lang w:val="sv-SE"/>
        </w:rPr>
      </w:pPr>
      <w:r w:rsidRPr="00953FEB">
        <w:rPr>
          <w:rFonts w:ascii="Times New Roman" w:hAnsi="Times New Roman" w:cs="Times New Roman"/>
          <w:sz w:val="24"/>
          <w:szCs w:val="24"/>
          <w:rtl/>
          <w:lang w:val="sv-SE"/>
        </w:rPr>
        <w:t xml:space="preserve">الحفناوي، منصور محمد منصور. </w:t>
      </w:r>
      <w:r w:rsidRPr="00953FEB">
        <w:rPr>
          <w:rFonts w:ascii="Times New Roman" w:hAnsi="Times New Roman" w:cs="Times New Roman"/>
          <w:i/>
          <w:iCs/>
          <w:sz w:val="24"/>
          <w:szCs w:val="24"/>
          <w:rtl/>
          <w:lang w:val="sv-SE"/>
        </w:rPr>
        <w:t>التيسير في التشريع الإسلامي</w:t>
      </w:r>
      <w:r w:rsidRPr="00953FEB">
        <w:rPr>
          <w:rFonts w:ascii="Times New Roman" w:hAnsi="Times New Roman" w:cs="Times New Roman"/>
          <w:sz w:val="24"/>
          <w:szCs w:val="24"/>
          <w:rtl/>
          <w:lang w:val="sv-SE"/>
        </w:rPr>
        <w:t xml:space="preserve">. القاهرة: </w:t>
      </w:r>
      <w:r w:rsidRPr="00953FEB">
        <w:rPr>
          <w:rFonts w:ascii="Times New Roman" w:hAnsi="Times New Roman" w:cs="Times New Roman"/>
          <w:sz w:val="24"/>
          <w:szCs w:val="24"/>
          <w:rtl/>
          <w:lang w:val="sv-SE" w:bidi="ar-SY"/>
        </w:rPr>
        <w:t>م</w:t>
      </w:r>
      <w:r w:rsidRPr="00953FEB">
        <w:rPr>
          <w:rFonts w:ascii="Times New Roman" w:hAnsi="Times New Roman" w:cs="Times New Roman"/>
          <w:sz w:val="24"/>
          <w:szCs w:val="24"/>
          <w:rtl/>
          <w:lang w:val="sv-SE"/>
        </w:rPr>
        <w:t xml:space="preserve">طبعة الأمانة، ١٩٩١، </w:t>
      </w:r>
      <w:r w:rsidRPr="00953FEB">
        <w:rPr>
          <w:rFonts w:ascii="Times New Roman" w:hAnsi="Times New Roman" w:cs="Times New Roman"/>
          <w:sz w:val="24"/>
          <w:szCs w:val="24"/>
          <w:rtl/>
          <w:lang w:val="sv-SE" w:bidi="fa-IR"/>
        </w:rPr>
        <w:t>۳۲</w:t>
      </w:r>
      <w:r w:rsidRPr="00953FEB">
        <w:rPr>
          <w:rFonts w:ascii="Times New Roman" w:hAnsi="Times New Roman" w:cs="Times New Roman"/>
          <w:sz w:val="24"/>
          <w:szCs w:val="24"/>
          <w:rtl/>
          <w:lang w:val="sv-SE"/>
        </w:rPr>
        <w:t>٧ ص.</w:t>
      </w:r>
    </w:p>
    <w:p w:rsidR="00953FEB" w:rsidRPr="00953FEB" w:rsidRDefault="00953FEB" w:rsidP="00953FEB">
      <w:pPr>
        <w:bidi/>
        <w:spacing w:after="0" w:line="480" w:lineRule="auto"/>
        <w:rPr>
          <w:rFonts w:ascii="Times New Roman" w:hAnsi="Times New Roman" w:cs="Times New Roman"/>
          <w:sz w:val="24"/>
          <w:szCs w:val="24"/>
          <w:rtl/>
          <w:lang w:val="sv-SE"/>
        </w:rPr>
      </w:pPr>
    </w:p>
    <w:p w:rsidR="00953FEB" w:rsidRPr="00953FEB" w:rsidRDefault="00953FEB" w:rsidP="00953FEB">
      <w:pPr>
        <w:spacing w:after="0" w:line="480" w:lineRule="auto"/>
        <w:rPr>
          <w:rFonts w:ascii="Times New Roman" w:hAnsi="Times New Roman" w:cs="Times New Roman"/>
          <w:sz w:val="24"/>
          <w:szCs w:val="24"/>
          <w:rtl/>
          <w:lang w:val="en-US" w:bidi="ar-SY"/>
        </w:rPr>
      </w:pPr>
      <w:proofErr w:type="gramStart"/>
      <w:r w:rsidRPr="00953FEB">
        <w:rPr>
          <w:rFonts w:ascii="Times New Roman" w:hAnsi="Times New Roman" w:cs="Times New Roman"/>
          <w:sz w:val="24"/>
          <w:szCs w:val="24"/>
          <w:lang w:val="en-US" w:bidi="ar-SY"/>
        </w:rPr>
        <w:t>Al-</w:t>
      </w:r>
      <w:proofErr w:type="spellStart"/>
      <w:r w:rsidRPr="00953FEB">
        <w:rPr>
          <w:rFonts w:ascii="Times New Roman" w:hAnsi="Times New Roman" w:cs="Times New Roman"/>
          <w:sz w:val="24"/>
          <w:szCs w:val="24"/>
          <w:lang w:val="en-US" w:bidi="ar-SY"/>
        </w:rPr>
        <w:t>Hafnawi</w:t>
      </w:r>
      <w:proofErr w:type="spellEnd"/>
      <w:r w:rsidRPr="00953FEB">
        <w:rPr>
          <w:rFonts w:ascii="Times New Roman" w:hAnsi="Times New Roman" w:cs="Times New Roman"/>
          <w:sz w:val="24"/>
          <w:szCs w:val="24"/>
          <w:lang w:val="en-US" w:bidi="ar-SY"/>
        </w:rPr>
        <w:t>, Mansur Muhammad Mansur.</w:t>
      </w:r>
      <w:proofErr w:type="gramEnd"/>
      <w:r w:rsidRPr="00953FEB">
        <w:rPr>
          <w:rFonts w:ascii="Times New Roman" w:hAnsi="Times New Roman" w:cs="Times New Roman"/>
          <w:sz w:val="24"/>
          <w:szCs w:val="24"/>
          <w:lang w:val="en-US" w:bidi="ar-SY"/>
        </w:rPr>
        <w:t xml:space="preserve"> </w:t>
      </w:r>
      <w:r w:rsidRPr="00953FEB">
        <w:rPr>
          <w:rFonts w:ascii="Times New Roman" w:hAnsi="Times New Roman" w:cs="Times New Roman"/>
          <w:i/>
          <w:iCs/>
          <w:sz w:val="24"/>
          <w:szCs w:val="24"/>
          <w:lang w:val="en-US" w:bidi="ar-SY"/>
        </w:rPr>
        <w:t>Al-</w:t>
      </w:r>
      <w:proofErr w:type="spellStart"/>
      <w:r w:rsidRPr="00953FEB">
        <w:rPr>
          <w:rFonts w:ascii="Times New Roman" w:hAnsi="Times New Roman" w:cs="Times New Roman"/>
          <w:i/>
          <w:iCs/>
          <w:sz w:val="24"/>
          <w:szCs w:val="24"/>
          <w:lang w:val="en-US" w:bidi="ar-SY"/>
        </w:rPr>
        <w:t>Taysir</w:t>
      </w:r>
      <w:proofErr w:type="spellEnd"/>
      <w:r w:rsidRPr="00953FEB">
        <w:rPr>
          <w:rFonts w:ascii="Times New Roman" w:hAnsi="Times New Roman" w:cs="Times New Roman"/>
          <w:i/>
          <w:iCs/>
          <w:sz w:val="24"/>
          <w:szCs w:val="24"/>
          <w:lang w:val="en-US" w:bidi="ar-SY"/>
        </w:rPr>
        <w:t xml:space="preserve"> fi al-</w:t>
      </w:r>
      <w:proofErr w:type="spellStart"/>
      <w:proofErr w:type="gramStart"/>
      <w:r w:rsidRPr="00953FEB">
        <w:rPr>
          <w:rFonts w:ascii="Times New Roman" w:hAnsi="Times New Roman" w:cs="Times New Roman"/>
          <w:i/>
          <w:iCs/>
          <w:sz w:val="24"/>
          <w:szCs w:val="24"/>
          <w:lang w:val="en-US" w:bidi="ar-SY"/>
        </w:rPr>
        <w:t>Tashri</w:t>
      </w:r>
      <w:proofErr w:type="spellEnd"/>
      <w:r w:rsidRPr="00953FEB">
        <w:rPr>
          <w:rFonts w:ascii="Times New Roman" w:hAnsi="Times New Roman" w:cs="Times New Roman"/>
          <w:i/>
          <w:iCs/>
          <w:sz w:val="24"/>
          <w:szCs w:val="24"/>
          <w:lang w:val="en-US" w:bidi="ar-SY"/>
        </w:rPr>
        <w:t>‘ al</w:t>
      </w:r>
      <w:proofErr w:type="gramEnd"/>
      <w:r w:rsidRPr="00953FEB">
        <w:rPr>
          <w:rFonts w:ascii="Times New Roman" w:hAnsi="Times New Roman" w:cs="Times New Roman"/>
          <w:i/>
          <w:iCs/>
          <w:sz w:val="24"/>
          <w:szCs w:val="24"/>
          <w:lang w:val="en-US" w:bidi="ar-SY"/>
        </w:rPr>
        <w:t>-</w:t>
      </w:r>
      <w:proofErr w:type="spellStart"/>
      <w:r w:rsidRPr="00953FEB">
        <w:rPr>
          <w:rFonts w:ascii="Times New Roman" w:hAnsi="Times New Roman" w:cs="Times New Roman"/>
          <w:i/>
          <w:iCs/>
          <w:sz w:val="24"/>
          <w:szCs w:val="24"/>
          <w:lang w:val="en-US" w:bidi="ar-SY"/>
        </w:rPr>
        <w:t>Islami</w:t>
      </w:r>
      <w:proofErr w:type="spellEnd"/>
      <w:r w:rsidRPr="00953FEB">
        <w:rPr>
          <w:rFonts w:ascii="Times New Roman" w:hAnsi="Times New Roman" w:cs="Times New Roman"/>
          <w:sz w:val="24"/>
          <w:szCs w:val="24"/>
          <w:lang w:val="en-US" w:bidi="ar-SY"/>
        </w:rPr>
        <w:t xml:space="preserve">. Cairo: </w:t>
      </w:r>
      <w:proofErr w:type="spellStart"/>
      <w:r w:rsidRPr="00953FEB">
        <w:rPr>
          <w:rFonts w:ascii="Times New Roman" w:hAnsi="Times New Roman" w:cs="Times New Roman"/>
          <w:sz w:val="24"/>
          <w:szCs w:val="24"/>
          <w:lang w:val="en-US" w:bidi="ar-SY"/>
        </w:rPr>
        <w:t>Matba‘at</w:t>
      </w:r>
      <w:proofErr w:type="spellEnd"/>
      <w:r w:rsidRPr="00953FEB">
        <w:rPr>
          <w:rFonts w:ascii="Times New Roman" w:hAnsi="Times New Roman" w:cs="Times New Roman"/>
          <w:sz w:val="24"/>
          <w:szCs w:val="24"/>
          <w:lang w:val="en-US" w:bidi="ar-SY"/>
        </w:rPr>
        <w:t xml:space="preserve"> al-Amana</w:t>
      </w:r>
      <w:r w:rsidRPr="00953FEB">
        <w:rPr>
          <w:rFonts w:ascii="Times New Roman" w:hAnsi="Times New Roman" w:cs="Times New Roman"/>
          <w:sz w:val="24"/>
          <w:szCs w:val="24"/>
          <w:lang w:bidi="ar-SY"/>
        </w:rPr>
        <w:t>h</w:t>
      </w:r>
      <w:r w:rsidRPr="00953FEB">
        <w:rPr>
          <w:rFonts w:ascii="Times New Roman" w:hAnsi="Times New Roman" w:cs="Times New Roman"/>
          <w:sz w:val="24"/>
          <w:szCs w:val="24"/>
          <w:lang w:val="en-US" w:bidi="ar-SY"/>
        </w:rPr>
        <w:t>, 1991, 327pp.</w:t>
      </w:r>
    </w:p>
    <w:p w:rsidR="00746C2D" w:rsidRPr="003421A9" w:rsidRDefault="00746C2D" w:rsidP="00746C2D">
      <w:pPr>
        <w:spacing w:after="0" w:line="480" w:lineRule="auto"/>
        <w:jc w:val="center"/>
        <w:rPr>
          <w:rStyle w:val="apple-style-span"/>
          <w:rFonts w:ascii="Times New Roman" w:hAnsi="Times New Roman" w:cs="Times New Roman"/>
          <w:sz w:val="24"/>
          <w:szCs w:val="24"/>
          <w:lang w:bidi="ar-SY"/>
        </w:rPr>
      </w:pPr>
    </w:p>
    <w:p w:rsidR="00746C2D" w:rsidRPr="00953FEB" w:rsidRDefault="00746C2D" w:rsidP="00746C2D">
      <w:pPr>
        <w:spacing w:after="0" w:line="480" w:lineRule="auto"/>
        <w:jc w:val="center"/>
        <w:rPr>
          <w:rFonts w:ascii="Times New Roman" w:hAnsi="Times New Roman" w:cs="Times New Roman"/>
          <w:b/>
          <w:bCs/>
          <w:sz w:val="24"/>
          <w:szCs w:val="24"/>
        </w:rPr>
      </w:pPr>
      <w:bookmarkStart w:id="0" w:name="_GoBack"/>
      <w:r w:rsidRPr="00953FEB">
        <w:rPr>
          <w:rFonts w:ascii="Times New Roman" w:hAnsi="Times New Roman" w:cs="Times New Roman"/>
          <w:b/>
          <w:bCs/>
          <w:sz w:val="24"/>
          <w:szCs w:val="24"/>
        </w:rPr>
        <w:t>ABSTRACT</w:t>
      </w:r>
    </w:p>
    <w:bookmarkEnd w:id="0"/>
    <w:p w:rsidR="00746C2D" w:rsidRPr="003421A9" w:rsidRDefault="00746C2D" w:rsidP="00746C2D">
      <w:pPr>
        <w:spacing w:after="0" w:line="480" w:lineRule="auto"/>
        <w:rPr>
          <w:rFonts w:ascii="Times New Roman" w:hAnsi="Times New Roman" w:cs="Times New Roman"/>
          <w:b/>
          <w:bCs/>
          <w:sz w:val="24"/>
          <w:szCs w:val="24"/>
        </w:rPr>
      </w:pPr>
    </w:p>
    <w:p w:rsidR="00746C2D" w:rsidRPr="003421A9" w:rsidRDefault="00746C2D" w:rsidP="00746C2D">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Al-</w:t>
      </w:r>
      <w:proofErr w:type="spellStart"/>
      <w:r w:rsidRPr="003421A9">
        <w:rPr>
          <w:rFonts w:ascii="Times New Roman" w:hAnsi="Times New Roman" w:cs="Times New Roman"/>
          <w:b/>
          <w:bCs/>
          <w:sz w:val="24"/>
          <w:szCs w:val="24"/>
        </w:rPr>
        <w:t>Taysir</w:t>
      </w:r>
      <w:proofErr w:type="spellEnd"/>
      <w:r w:rsidRPr="003421A9">
        <w:rPr>
          <w:rFonts w:ascii="Times New Roman" w:hAnsi="Times New Roman" w:cs="Times New Roman"/>
          <w:b/>
          <w:bCs/>
          <w:sz w:val="24"/>
          <w:szCs w:val="24"/>
        </w:rPr>
        <w:t xml:space="preserve"> in Islamic Law</w:t>
      </w:r>
    </w:p>
    <w:p w:rsidR="00746C2D" w:rsidRPr="003421A9" w:rsidRDefault="00746C2D" w:rsidP="00746C2D">
      <w:pPr>
        <w:spacing w:after="0" w:line="480" w:lineRule="auto"/>
        <w:jc w:val="center"/>
        <w:rPr>
          <w:rFonts w:ascii="Times New Roman" w:hAnsi="Times New Roman" w:cs="Times New Roman"/>
          <w:b/>
          <w:bCs/>
          <w:sz w:val="24"/>
          <w:szCs w:val="24"/>
        </w:rPr>
      </w:pPr>
    </w:p>
    <w:p w:rsidR="00746C2D" w:rsidRPr="003421A9" w:rsidRDefault="00746C2D" w:rsidP="00746C2D">
      <w:pPr>
        <w:spacing w:after="0" w:line="480" w:lineRule="auto"/>
        <w:jc w:val="center"/>
        <w:rPr>
          <w:rFonts w:ascii="Times New Roman" w:hAnsi="Times New Roman" w:cs="Times New Roman"/>
          <w:i/>
          <w:iCs/>
          <w:sz w:val="24"/>
          <w:szCs w:val="24"/>
        </w:rPr>
      </w:pPr>
      <w:r w:rsidRPr="003421A9">
        <w:rPr>
          <w:rFonts w:ascii="Times New Roman" w:hAnsi="Times New Roman" w:cs="Times New Roman"/>
          <w:i/>
          <w:iCs/>
          <w:sz w:val="24"/>
          <w:szCs w:val="24"/>
          <w:rtl/>
        </w:rPr>
        <w:t>التيسير في التشريع الإسلامي</w:t>
      </w:r>
    </w:p>
    <w:p w:rsidR="00746C2D" w:rsidRPr="003421A9" w:rsidRDefault="00746C2D" w:rsidP="00746C2D">
      <w:pPr>
        <w:spacing w:after="0" w:line="480" w:lineRule="auto"/>
        <w:jc w:val="center"/>
        <w:rPr>
          <w:rFonts w:ascii="Times New Roman" w:hAnsi="Times New Roman" w:cs="Times New Roman"/>
          <w:sz w:val="24"/>
          <w:szCs w:val="24"/>
        </w:rPr>
      </w:pPr>
    </w:p>
    <w:p w:rsidR="00746C2D" w:rsidRPr="003421A9" w:rsidRDefault="00746C2D" w:rsidP="00746C2D">
      <w:pPr>
        <w:spacing w:after="0" w:line="480" w:lineRule="auto"/>
        <w:jc w:val="both"/>
        <w:rPr>
          <w:rStyle w:val="apple-style-span"/>
          <w:rFonts w:ascii="Times New Roman" w:hAnsi="Times New Roman" w:cs="Times New Roman"/>
          <w:sz w:val="24"/>
          <w:szCs w:val="24"/>
        </w:rPr>
      </w:pPr>
      <w:r w:rsidRPr="003421A9">
        <w:rPr>
          <w:rStyle w:val="apple-style-span"/>
          <w:rFonts w:ascii="Times New Roman" w:hAnsi="Times New Roman" w:cs="Times New Roman"/>
          <w:sz w:val="24"/>
          <w:szCs w:val="24"/>
        </w:rPr>
        <w:t>Mansur Muhammad Mansur al-</w:t>
      </w:r>
      <w:proofErr w:type="spellStart"/>
      <w:r w:rsidRPr="003421A9">
        <w:rPr>
          <w:rStyle w:val="apple-style-span"/>
          <w:rFonts w:ascii="Times New Roman" w:hAnsi="Times New Roman" w:cs="Times New Roman"/>
          <w:sz w:val="24"/>
          <w:szCs w:val="24"/>
        </w:rPr>
        <w:t>Hafnawi’s</w:t>
      </w:r>
      <w:proofErr w:type="spellEnd"/>
      <w:r w:rsidRPr="003421A9">
        <w:rPr>
          <w:rStyle w:val="apple-style-span"/>
          <w:rFonts w:ascii="Times New Roman" w:hAnsi="Times New Roman" w:cs="Times New Roman"/>
          <w:sz w:val="24"/>
          <w:szCs w:val="24"/>
        </w:rPr>
        <w:t xml:space="preserve"> book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i/>
          <w:iCs/>
          <w:sz w:val="24"/>
          <w:szCs w:val="24"/>
        </w:rPr>
        <w:t xml:space="preserve"> in Islamic Law</w:t>
      </w:r>
      <w:r w:rsidRPr="003421A9">
        <w:rPr>
          <w:rStyle w:val="apple-style-span"/>
          <w:rFonts w:ascii="Times New Roman" w:hAnsi="Times New Roman" w:cs="Times New Roman"/>
          <w:sz w:val="24"/>
          <w:szCs w:val="24"/>
        </w:rPr>
        <w:t xml:space="preserve"> consists of an introduction, two main chapters and a summary with a conclusion. This abstract is based on its first edition. Al-</w:t>
      </w:r>
      <w:proofErr w:type="spellStart"/>
      <w:r w:rsidRPr="003421A9">
        <w:rPr>
          <w:rStyle w:val="apple-style-span"/>
          <w:rFonts w:ascii="Times New Roman" w:hAnsi="Times New Roman" w:cs="Times New Roman"/>
          <w:sz w:val="24"/>
          <w:szCs w:val="24"/>
        </w:rPr>
        <w:t>Hafnawi</w:t>
      </w:r>
      <w:proofErr w:type="spellEnd"/>
      <w:r w:rsidRPr="003421A9">
        <w:rPr>
          <w:rStyle w:val="apple-style-span"/>
          <w:rFonts w:ascii="Times New Roman" w:hAnsi="Times New Roman" w:cs="Times New Roman"/>
          <w:sz w:val="24"/>
          <w:szCs w:val="24"/>
        </w:rPr>
        <w:t xml:space="preserve"> begins with a general synopsis of the work, including discussion of the mercy of Allah towards His servants. He also explains that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(facilitation) is a central feature of Islam and outlines the structure of the main chapters.  </w:t>
      </w:r>
    </w:p>
    <w:p w:rsidR="00746C2D" w:rsidRPr="003421A9" w:rsidRDefault="00746C2D" w:rsidP="00746C2D">
      <w:pPr>
        <w:spacing w:after="0" w:line="480" w:lineRule="auto"/>
        <w:jc w:val="both"/>
        <w:rPr>
          <w:rStyle w:val="apple-style-span"/>
          <w:rFonts w:ascii="Times New Roman" w:hAnsi="Times New Roman" w:cs="Times New Roman"/>
          <w:sz w:val="24"/>
          <w:szCs w:val="24"/>
        </w:rPr>
      </w:pPr>
    </w:p>
    <w:p w:rsidR="00746C2D" w:rsidRPr="003421A9" w:rsidRDefault="00746C2D" w:rsidP="00746C2D">
      <w:pPr>
        <w:spacing w:after="0" w:line="480" w:lineRule="auto"/>
        <w:jc w:val="both"/>
        <w:rPr>
          <w:rStyle w:val="apple-style-span"/>
          <w:rFonts w:ascii="Times New Roman" w:hAnsi="Times New Roman" w:cs="Times New Roman"/>
          <w:sz w:val="24"/>
          <w:szCs w:val="24"/>
        </w:rPr>
      </w:pPr>
      <w:r w:rsidRPr="003421A9">
        <w:rPr>
          <w:rStyle w:val="apple-style-span"/>
          <w:rFonts w:ascii="Times New Roman" w:hAnsi="Times New Roman" w:cs="Times New Roman"/>
          <w:sz w:val="24"/>
          <w:szCs w:val="24"/>
        </w:rPr>
        <w:t>The first chapter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has two parts. The first of these deals with the definition of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and discusses its relation to </w:t>
      </w:r>
      <w:proofErr w:type="spellStart"/>
      <w:r w:rsidRPr="003421A9">
        <w:rPr>
          <w:rFonts w:ascii="Times New Roman" w:hAnsi="Times New Roman" w:cs="Times New Roman"/>
          <w:i/>
          <w:iCs/>
          <w:sz w:val="24"/>
          <w:szCs w:val="24"/>
        </w:rPr>
        <w:t>rakhsa</w:t>
      </w:r>
      <w:proofErr w:type="spellEnd"/>
      <w:r w:rsidRPr="003421A9">
        <w:rPr>
          <w:rFonts w:ascii="Times New Roman" w:hAnsi="Times New Roman" w:cs="Times New Roman"/>
          <w:sz w:val="24"/>
          <w:szCs w:val="24"/>
        </w:rPr>
        <w:t xml:space="preserve"> (permission), </w:t>
      </w:r>
      <w:proofErr w:type="spellStart"/>
      <w:r w:rsidRPr="003421A9">
        <w:rPr>
          <w:rFonts w:ascii="Times New Roman" w:hAnsi="Times New Roman" w:cs="Times New Roman"/>
          <w:i/>
          <w:iCs/>
          <w:sz w:val="24"/>
          <w:szCs w:val="24"/>
        </w:rPr>
        <w:t>dharura</w:t>
      </w:r>
      <w:proofErr w:type="spellEnd"/>
      <w:r w:rsidRPr="003421A9">
        <w:rPr>
          <w:rFonts w:ascii="Times New Roman" w:hAnsi="Times New Roman" w:cs="Times New Roman"/>
          <w:i/>
          <w:iCs/>
          <w:sz w:val="24"/>
          <w:szCs w:val="24"/>
        </w:rPr>
        <w:t xml:space="preserve"> </w:t>
      </w:r>
      <w:r w:rsidRPr="003421A9">
        <w:rPr>
          <w:rFonts w:ascii="Times New Roman" w:hAnsi="Times New Roman" w:cs="Times New Roman"/>
          <w:iCs/>
          <w:sz w:val="24"/>
          <w:szCs w:val="24"/>
        </w:rPr>
        <w:t>(</w:t>
      </w:r>
      <w:r w:rsidRPr="003421A9">
        <w:rPr>
          <w:rFonts w:ascii="Times New Roman" w:hAnsi="Times New Roman" w:cs="Times New Roman"/>
          <w:sz w:val="24"/>
          <w:szCs w:val="24"/>
        </w:rPr>
        <w:t>necessity)</w:t>
      </w:r>
      <w:r w:rsidRPr="003421A9">
        <w:rPr>
          <w:rStyle w:val="apple-style-span"/>
          <w:rFonts w:ascii="Times New Roman" w:hAnsi="Times New Roman" w:cs="Times New Roman"/>
          <w:sz w:val="24"/>
          <w:szCs w:val="24"/>
        </w:rPr>
        <w:t xml:space="preserve"> and </w:t>
      </w:r>
      <w:proofErr w:type="spellStart"/>
      <w:r w:rsidRPr="003421A9">
        <w:rPr>
          <w:rFonts w:ascii="Times New Roman" w:hAnsi="Times New Roman" w:cs="Times New Roman"/>
          <w:i/>
          <w:iCs/>
          <w:sz w:val="24"/>
          <w:szCs w:val="24"/>
        </w:rPr>
        <w:t>nafi</w:t>
      </w:r>
      <w:proofErr w:type="spellEnd"/>
      <w:r w:rsidRPr="003421A9">
        <w:rPr>
          <w:rFonts w:ascii="Times New Roman" w:hAnsi="Times New Roman" w:cs="Times New Roman"/>
          <w:i/>
          <w:iCs/>
          <w:sz w:val="24"/>
          <w:szCs w:val="24"/>
        </w:rPr>
        <w:t xml:space="preserve"> al-</w:t>
      </w:r>
      <w:proofErr w:type="spellStart"/>
      <w:r w:rsidRPr="003421A9">
        <w:rPr>
          <w:rFonts w:ascii="Times New Roman" w:hAnsi="Times New Roman" w:cs="Times New Roman"/>
          <w:i/>
          <w:iCs/>
          <w:sz w:val="24"/>
          <w:szCs w:val="24"/>
        </w:rPr>
        <w:t>haraj</w:t>
      </w:r>
      <w:proofErr w:type="spellEnd"/>
      <w:r w:rsidRPr="003421A9">
        <w:rPr>
          <w:rFonts w:ascii="Times New Roman" w:hAnsi="Times New Roman" w:cs="Times New Roman"/>
          <w:sz w:val="24"/>
          <w:szCs w:val="24"/>
        </w:rPr>
        <w:t xml:space="preserve"> (</w:t>
      </w:r>
      <w:r w:rsidRPr="003421A9">
        <w:rPr>
          <w:rStyle w:val="apple-style-span"/>
          <w:rFonts w:ascii="Times New Roman" w:hAnsi="Times New Roman" w:cs="Times New Roman"/>
          <w:sz w:val="24"/>
          <w:szCs w:val="24"/>
        </w:rPr>
        <w:t xml:space="preserve">how to avoid embarrassment). It also examines the protections set out in sharia, ways to defend and enhance good practice and the threat that people may pose to these protections. The second part looks at the fundamental sources of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the Holy Qur’an and the Sunna.</w:t>
      </w:r>
    </w:p>
    <w:p w:rsidR="00746C2D" w:rsidRPr="003421A9" w:rsidRDefault="00746C2D" w:rsidP="00746C2D">
      <w:pPr>
        <w:spacing w:after="0" w:line="480" w:lineRule="auto"/>
        <w:jc w:val="both"/>
        <w:rPr>
          <w:rStyle w:val="apple-style-span"/>
          <w:rFonts w:ascii="Times New Roman" w:hAnsi="Times New Roman" w:cs="Times New Roman"/>
          <w:sz w:val="24"/>
          <w:szCs w:val="24"/>
        </w:rPr>
      </w:pPr>
    </w:p>
    <w:p w:rsidR="00746C2D" w:rsidRPr="003421A9" w:rsidRDefault="00746C2D" w:rsidP="00746C2D">
      <w:pPr>
        <w:spacing w:after="0" w:line="480" w:lineRule="auto"/>
        <w:jc w:val="both"/>
        <w:rPr>
          <w:rStyle w:val="apple-style-span"/>
          <w:rFonts w:ascii="Times New Roman" w:hAnsi="Times New Roman" w:cs="Times New Roman"/>
          <w:sz w:val="24"/>
          <w:szCs w:val="24"/>
        </w:rPr>
      </w:pPr>
      <w:r w:rsidRPr="003421A9">
        <w:rPr>
          <w:rStyle w:val="apple-style-span"/>
          <w:rFonts w:ascii="Times New Roman" w:hAnsi="Times New Roman" w:cs="Times New Roman"/>
          <w:sz w:val="24"/>
          <w:szCs w:val="24"/>
        </w:rPr>
        <w:t xml:space="preserve">The second chapter (“Reasons for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focuses on the circumstances and conditions required for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Its first part (“Optional aspects of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looks at the aspects of </w:t>
      </w:r>
      <w:proofErr w:type="spellStart"/>
      <w:r w:rsidRPr="003421A9">
        <w:rPr>
          <w:rStyle w:val="apple-style-span"/>
          <w:rFonts w:ascii="Times New Roman" w:hAnsi="Times New Roman" w:cs="Times New Roman"/>
          <w:i/>
          <w:sz w:val="24"/>
          <w:szCs w:val="24"/>
        </w:rPr>
        <w:t>taysir</w:t>
      </w:r>
      <w:proofErr w:type="spellEnd"/>
      <w:r w:rsidRPr="003421A9">
        <w:rPr>
          <w:rStyle w:val="apple-style-span"/>
          <w:rFonts w:ascii="Times New Roman" w:hAnsi="Times New Roman" w:cs="Times New Roman"/>
          <w:sz w:val="24"/>
          <w:szCs w:val="24"/>
        </w:rPr>
        <w:t xml:space="preserve"> </w:t>
      </w:r>
      <w:r w:rsidRPr="003421A9">
        <w:rPr>
          <w:rStyle w:val="apple-style-span"/>
          <w:rFonts w:ascii="Times New Roman" w:hAnsi="Times New Roman" w:cs="Times New Roman"/>
          <w:sz w:val="24"/>
          <w:szCs w:val="24"/>
        </w:rPr>
        <w:lastRenderedPageBreak/>
        <w:t xml:space="preserve">that one is free to choose, and deals with issues related to prayer and fasting during travel. The second part, “Obligatory Aspects of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examines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for the needy,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in times of jeopardy and reasons for </w:t>
      </w:r>
      <w:proofErr w:type="spellStart"/>
      <w:r w:rsidRPr="003421A9">
        <w:rPr>
          <w:rStyle w:val="apple-style-span"/>
          <w:rFonts w:ascii="Times New Roman" w:hAnsi="Times New Roman" w:cs="Times New Roman"/>
          <w:i/>
          <w:iCs/>
          <w:sz w:val="24"/>
          <w:szCs w:val="24"/>
        </w:rPr>
        <w:t>taysir</w:t>
      </w:r>
      <w:proofErr w:type="spellEnd"/>
      <w:r w:rsidRPr="003421A9">
        <w:rPr>
          <w:rStyle w:val="apple-style-span"/>
          <w:rFonts w:ascii="Times New Roman" w:hAnsi="Times New Roman" w:cs="Times New Roman"/>
          <w:sz w:val="24"/>
          <w:szCs w:val="24"/>
        </w:rPr>
        <w:t xml:space="preserve"> that are neither optional nor obligatory.</w:t>
      </w:r>
    </w:p>
    <w:p w:rsidR="00746C2D" w:rsidRPr="003421A9" w:rsidRDefault="00746C2D" w:rsidP="00746C2D">
      <w:pPr>
        <w:spacing w:after="0" w:line="480" w:lineRule="auto"/>
        <w:jc w:val="both"/>
        <w:rPr>
          <w:rStyle w:val="apple-style-span"/>
          <w:rFonts w:ascii="Times New Roman" w:hAnsi="Times New Roman" w:cs="Times New Roman"/>
          <w:sz w:val="24"/>
          <w:szCs w:val="24"/>
        </w:rPr>
      </w:pPr>
    </w:p>
    <w:p w:rsidR="00746C2D" w:rsidRPr="003421A9" w:rsidRDefault="00746C2D" w:rsidP="00746C2D">
      <w:pPr>
        <w:spacing w:after="0" w:line="480" w:lineRule="auto"/>
        <w:jc w:val="both"/>
        <w:rPr>
          <w:rFonts w:ascii="Times New Roman" w:hAnsi="Times New Roman" w:cs="Times New Roman"/>
          <w:color w:val="000000"/>
          <w:sz w:val="24"/>
          <w:szCs w:val="24"/>
        </w:rPr>
      </w:pPr>
      <w:r w:rsidRPr="003421A9">
        <w:rPr>
          <w:rFonts w:ascii="Times New Roman" w:hAnsi="Times New Roman" w:cs="Times New Roman"/>
          <w:color w:val="000000"/>
          <w:sz w:val="24"/>
          <w:szCs w:val="24"/>
        </w:rPr>
        <w:t>The book has a substantial number of footnotes and a bibliography, the latter being organised into references to the Qur’an, the Sunna, jurisprudence and law, and the various theological schools.</w:t>
      </w:r>
    </w:p>
    <w:p w:rsidR="00746C2D" w:rsidRPr="003421A9" w:rsidRDefault="00746C2D" w:rsidP="00746C2D">
      <w:pPr>
        <w:spacing w:after="0" w:line="480" w:lineRule="auto"/>
        <w:jc w:val="both"/>
        <w:rPr>
          <w:rFonts w:ascii="Times New Roman" w:hAnsi="Times New Roman" w:cs="Times New Roman"/>
          <w:color w:val="000000"/>
          <w:sz w:val="24"/>
          <w:szCs w:val="24"/>
        </w:rPr>
      </w:pPr>
    </w:p>
    <w:p w:rsidR="00746C2D" w:rsidRDefault="00746C2D" w:rsidP="00746C2D">
      <w:pPr>
        <w:spacing w:after="0" w:line="480" w:lineRule="auto"/>
        <w:jc w:val="both"/>
        <w:rPr>
          <w:rFonts w:ascii="Times New Roman" w:hAnsi="Times New Roman" w:cs="Times New Roman"/>
          <w:color w:val="000000"/>
          <w:sz w:val="24"/>
          <w:szCs w:val="24"/>
          <w:rtl/>
        </w:rPr>
      </w:pPr>
      <w:r w:rsidRPr="003421A9">
        <w:rPr>
          <w:rFonts w:ascii="Times New Roman" w:hAnsi="Times New Roman" w:cs="Times New Roman"/>
          <w:color w:val="000000"/>
          <w:sz w:val="24"/>
          <w:szCs w:val="24"/>
        </w:rPr>
        <w:t xml:space="preserve">There are certain areas that </w:t>
      </w:r>
      <w:r w:rsidRPr="003421A9">
        <w:rPr>
          <w:rStyle w:val="apple-style-span"/>
          <w:rFonts w:ascii="Times New Roman" w:hAnsi="Times New Roman" w:cs="Times New Roman"/>
          <w:sz w:val="24"/>
          <w:szCs w:val="24"/>
        </w:rPr>
        <w:t>al-</w:t>
      </w:r>
      <w:proofErr w:type="spellStart"/>
      <w:r w:rsidRPr="003421A9">
        <w:rPr>
          <w:rStyle w:val="apple-style-span"/>
          <w:rFonts w:ascii="Times New Roman" w:hAnsi="Times New Roman" w:cs="Times New Roman"/>
          <w:sz w:val="24"/>
          <w:szCs w:val="24"/>
        </w:rPr>
        <w:t>Hafnawi</w:t>
      </w:r>
      <w:proofErr w:type="spellEnd"/>
      <w:r w:rsidRPr="003421A9">
        <w:rPr>
          <w:rFonts w:ascii="Times New Roman" w:hAnsi="Times New Roman" w:cs="Times New Roman"/>
          <w:color w:val="000000"/>
          <w:sz w:val="24"/>
          <w:szCs w:val="24"/>
        </w:rPr>
        <w:t xml:space="preserve"> does not discuss sufficiently, such as the conditions for </w:t>
      </w:r>
      <w:proofErr w:type="spellStart"/>
      <w:r w:rsidRPr="003421A9">
        <w:rPr>
          <w:rFonts w:ascii="Times New Roman" w:hAnsi="Times New Roman" w:cs="Times New Roman"/>
          <w:i/>
          <w:iCs/>
          <w:color w:val="000000"/>
          <w:sz w:val="24"/>
          <w:szCs w:val="24"/>
        </w:rPr>
        <w:t>taysir</w:t>
      </w:r>
      <w:proofErr w:type="spellEnd"/>
      <w:r w:rsidRPr="003421A9">
        <w:rPr>
          <w:rFonts w:ascii="Times New Roman" w:hAnsi="Times New Roman" w:cs="Times New Roman"/>
          <w:color w:val="000000"/>
          <w:sz w:val="24"/>
          <w:szCs w:val="24"/>
        </w:rPr>
        <w:t xml:space="preserve">, its religious aims, and the social, behavioural and legal objectives of </w:t>
      </w:r>
      <w:proofErr w:type="spellStart"/>
      <w:r w:rsidRPr="003421A9">
        <w:rPr>
          <w:rFonts w:ascii="Times New Roman" w:hAnsi="Times New Roman" w:cs="Times New Roman"/>
          <w:i/>
          <w:color w:val="000000"/>
          <w:sz w:val="24"/>
          <w:szCs w:val="24"/>
        </w:rPr>
        <w:t>taysir</w:t>
      </w:r>
      <w:proofErr w:type="spellEnd"/>
      <w:r w:rsidRPr="003421A9">
        <w:rPr>
          <w:rFonts w:ascii="Times New Roman" w:hAnsi="Times New Roman" w:cs="Times New Roman"/>
          <w:color w:val="000000"/>
          <w:sz w:val="24"/>
          <w:szCs w:val="24"/>
        </w:rPr>
        <w:t xml:space="preserve">. Nor does he deal with modern applications of </w:t>
      </w:r>
      <w:proofErr w:type="spellStart"/>
      <w:r w:rsidRPr="003421A9">
        <w:rPr>
          <w:rFonts w:ascii="Times New Roman" w:hAnsi="Times New Roman" w:cs="Times New Roman"/>
          <w:i/>
          <w:iCs/>
          <w:color w:val="000000"/>
          <w:sz w:val="24"/>
          <w:szCs w:val="24"/>
        </w:rPr>
        <w:t>taysir</w:t>
      </w:r>
      <w:proofErr w:type="spellEnd"/>
      <w:r w:rsidRPr="003421A9">
        <w:rPr>
          <w:rFonts w:ascii="Times New Roman" w:hAnsi="Times New Roman" w:cs="Times New Roman"/>
          <w:color w:val="000000"/>
          <w:sz w:val="24"/>
          <w:szCs w:val="24"/>
        </w:rPr>
        <w:t xml:space="preserve"> and their implications. The book’s printing is of poor quality. Some words are illegible and there are some basic spelling errors. Despite these flaws, the book is a reasonable introduction to the subject.</w:t>
      </w:r>
    </w:p>
    <w:p w:rsidR="00746C2D" w:rsidRPr="003421A9" w:rsidRDefault="00746C2D" w:rsidP="00746C2D">
      <w:pPr>
        <w:spacing w:after="0" w:line="480" w:lineRule="auto"/>
        <w:jc w:val="both"/>
        <w:rPr>
          <w:rFonts w:ascii="Times New Roman" w:hAnsi="Times New Roman" w:cs="Times New Roman"/>
          <w:color w:val="000000"/>
          <w:sz w:val="24"/>
          <w:szCs w:val="24"/>
        </w:rPr>
      </w:pPr>
    </w:p>
    <w:p w:rsidR="00746C2D" w:rsidRPr="003421A9" w:rsidRDefault="00746C2D" w:rsidP="00746C2D">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746C2D" w:rsidRPr="003421A9" w:rsidRDefault="00746C2D" w:rsidP="00746C2D">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Translated by John </w:t>
      </w:r>
      <w:proofErr w:type="spellStart"/>
      <w:r w:rsidRPr="003421A9">
        <w:rPr>
          <w:rFonts w:ascii="Times New Roman" w:hAnsi="Times New Roman" w:cs="Times New Roman"/>
          <w:sz w:val="24"/>
          <w:szCs w:val="24"/>
        </w:rPr>
        <w:t>Peate</w:t>
      </w:r>
      <w:proofErr w:type="spellEnd"/>
    </w:p>
    <w:p w:rsidR="009A0E2D" w:rsidRDefault="00953FEB"/>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3A"/>
    <w:rsid w:val="000071C0"/>
    <w:rsid w:val="00083E80"/>
    <w:rsid w:val="006C6B50"/>
    <w:rsid w:val="00746C2D"/>
    <w:rsid w:val="00791238"/>
    <w:rsid w:val="00953FEB"/>
    <w:rsid w:val="00B72D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2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4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2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4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2015-02-23T16:04:00Z</dcterms:created>
  <dcterms:modified xsi:type="dcterms:W3CDTF">2015-06-09T12:13:00Z</dcterms:modified>
</cp:coreProperties>
</file>