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B80" w:rsidRPr="00DA0DE2" w:rsidRDefault="00936500" w:rsidP="00D2725A">
      <w:pPr>
        <w:spacing w:after="0" w:line="480" w:lineRule="auto"/>
        <w:rPr>
          <w:rFonts w:ascii="Times New Roman" w:hAnsi="Times New Roman" w:cs="Times New Roman"/>
          <w:i/>
          <w:sz w:val="24"/>
          <w:szCs w:val="24"/>
          <w:lang w:val="en-US"/>
        </w:rPr>
      </w:pPr>
      <w:r>
        <w:rPr>
          <w:rFonts w:ascii="Times New Roman" w:hAnsi="Times New Roman" w:cs="Times New Roman"/>
          <w:sz w:val="24"/>
          <w:szCs w:val="24"/>
          <w:lang w:val="tr-TR"/>
        </w:rPr>
        <w:t xml:space="preserve">Syarifuddin, Amir. </w:t>
      </w:r>
      <w:r>
        <w:rPr>
          <w:rFonts w:ascii="Times New Roman" w:hAnsi="Times New Roman" w:cs="Times New Roman"/>
          <w:i/>
          <w:iCs/>
          <w:sz w:val="24"/>
          <w:szCs w:val="24"/>
          <w:lang w:val="tr-TR"/>
        </w:rPr>
        <w:t>Garis-garis Besar Fiqh</w:t>
      </w:r>
      <w:r>
        <w:rPr>
          <w:rFonts w:ascii="Times New Roman" w:hAnsi="Times New Roman" w:cs="Times New Roman"/>
          <w:sz w:val="24"/>
          <w:szCs w:val="24"/>
          <w:lang w:val="tr-TR"/>
        </w:rPr>
        <w:t>. Jakarta: Kencana, 2003</w:t>
      </w:r>
      <w:bookmarkStart w:id="0" w:name="_GoBack"/>
      <w:bookmarkEnd w:id="0"/>
      <w:r w:rsidR="00A72B80" w:rsidRPr="00DA0DE2">
        <w:rPr>
          <w:rFonts w:ascii="Times New Roman" w:hAnsi="Times New Roman" w:cs="Times New Roman"/>
          <w:iCs/>
          <w:sz w:val="24"/>
          <w:szCs w:val="24"/>
          <w:lang w:val="en-US"/>
        </w:rPr>
        <w:t>, 340</w:t>
      </w:r>
      <w:r w:rsidR="00D2725A">
        <w:rPr>
          <w:rFonts w:ascii="Times New Roman" w:hAnsi="Times New Roman" w:cs="Times New Roman"/>
          <w:iCs/>
          <w:sz w:val="24"/>
          <w:szCs w:val="24"/>
          <w:lang w:val="en-US"/>
        </w:rPr>
        <w:t>p</w:t>
      </w:r>
      <w:r w:rsidR="00A72B80" w:rsidRPr="00DA0DE2">
        <w:rPr>
          <w:rFonts w:ascii="Times New Roman" w:hAnsi="Times New Roman" w:cs="Times New Roman"/>
          <w:iCs/>
          <w:sz w:val="24"/>
          <w:szCs w:val="24"/>
          <w:lang w:val="en-US"/>
        </w:rPr>
        <w:t>p</w:t>
      </w:r>
      <w:r w:rsidR="00A72B80" w:rsidRPr="00DA0DE2">
        <w:rPr>
          <w:rFonts w:ascii="Times New Roman" w:hAnsi="Times New Roman" w:cs="Times New Roman"/>
          <w:i/>
          <w:sz w:val="24"/>
          <w:szCs w:val="24"/>
          <w:lang w:val="en-US"/>
        </w:rPr>
        <w:t>.</w:t>
      </w:r>
    </w:p>
    <w:p w:rsidR="00A72B80" w:rsidRPr="00DA0DE2" w:rsidRDefault="00A72B80" w:rsidP="00A72B80">
      <w:pPr>
        <w:bidi/>
        <w:spacing w:after="0" w:line="480" w:lineRule="auto"/>
        <w:jc w:val="center"/>
        <w:rPr>
          <w:rFonts w:ascii="Times New Roman" w:hAnsi="Times New Roman" w:cs="Times New Roman"/>
          <w:i/>
          <w:sz w:val="24"/>
          <w:szCs w:val="24"/>
          <w:rtl/>
        </w:rPr>
      </w:pPr>
    </w:p>
    <w:p w:rsidR="00A72B80" w:rsidRPr="00B21EAE" w:rsidRDefault="00A72B80" w:rsidP="00A72B80">
      <w:pPr>
        <w:bidi/>
        <w:spacing w:after="0" w:line="480" w:lineRule="auto"/>
        <w:jc w:val="center"/>
        <w:rPr>
          <w:rFonts w:ascii="Times New Roman" w:hAnsi="Times New Roman" w:cs="Times New Roman"/>
          <w:b/>
          <w:bCs/>
          <w:i/>
          <w:sz w:val="24"/>
          <w:szCs w:val="24"/>
          <w:rtl/>
        </w:rPr>
      </w:pPr>
      <w:r w:rsidRPr="00B21EAE">
        <w:rPr>
          <w:rFonts w:ascii="Times New Roman" w:hAnsi="Times New Roman" w:cs="Times New Roman"/>
          <w:b/>
          <w:bCs/>
          <w:i/>
          <w:sz w:val="24"/>
          <w:szCs w:val="24"/>
          <w:rtl/>
        </w:rPr>
        <w:t>ملخص</w:t>
      </w:r>
    </w:p>
    <w:p w:rsidR="00A72B80" w:rsidRPr="00DA0DE2" w:rsidRDefault="00A72B80" w:rsidP="00A72B80">
      <w:pPr>
        <w:bidi/>
        <w:spacing w:after="0" w:line="480" w:lineRule="auto"/>
        <w:jc w:val="center"/>
        <w:rPr>
          <w:rFonts w:ascii="Times New Roman" w:hAnsi="Times New Roman" w:cs="Times New Roman"/>
          <w:b/>
          <w:bCs/>
          <w:i/>
          <w:sz w:val="24"/>
          <w:szCs w:val="24"/>
          <w:rtl/>
        </w:rPr>
      </w:pPr>
    </w:p>
    <w:p w:rsidR="00A72B80" w:rsidRPr="00DA0DE2" w:rsidRDefault="00A72B80" w:rsidP="00A72B80">
      <w:pPr>
        <w:bidi/>
        <w:spacing w:after="0" w:line="480" w:lineRule="auto"/>
        <w:jc w:val="center"/>
        <w:rPr>
          <w:rFonts w:ascii="Times New Roman" w:hAnsi="Times New Roman" w:cs="Times New Roman"/>
          <w:b/>
          <w:bCs/>
          <w:i/>
          <w:sz w:val="24"/>
          <w:szCs w:val="24"/>
          <w:lang w:val="en-US"/>
        </w:rPr>
      </w:pPr>
      <w:r w:rsidRPr="00DA0DE2">
        <w:rPr>
          <w:rFonts w:ascii="Times New Roman" w:hAnsi="Times New Roman" w:cs="Times New Roman"/>
          <w:b/>
          <w:bCs/>
          <w:i/>
          <w:sz w:val="24"/>
          <w:szCs w:val="24"/>
          <w:rtl/>
        </w:rPr>
        <w:t>القضايا الرئيسية في الفقه الإسلامي</w:t>
      </w:r>
    </w:p>
    <w:p w:rsidR="00A72B80" w:rsidRPr="00DA0DE2" w:rsidRDefault="00A72B80" w:rsidP="00A72B80">
      <w:pPr>
        <w:bidi/>
        <w:spacing w:after="0" w:line="480" w:lineRule="auto"/>
        <w:jc w:val="center"/>
        <w:rPr>
          <w:rFonts w:ascii="Times New Roman" w:hAnsi="Times New Roman" w:cs="Times New Roman"/>
          <w:i/>
          <w:iCs/>
          <w:sz w:val="24"/>
          <w:szCs w:val="24"/>
          <w:rtl/>
          <w:lang w:val="en-US"/>
        </w:rPr>
      </w:pPr>
    </w:p>
    <w:p w:rsidR="00A72B80" w:rsidRPr="00DA0DE2" w:rsidRDefault="00A72B80" w:rsidP="00A72B80">
      <w:pPr>
        <w:spacing w:after="0" w:line="480" w:lineRule="auto"/>
        <w:jc w:val="center"/>
        <w:rPr>
          <w:rFonts w:ascii="Times New Roman" w:hAnsi="Times New Roman" w:cs="Times New Roman"/>
          <w:i/>
          <w:iCs/>
          <w:sz w:val="24"/>
          <w:szCs w:val="24"/>
          <w:lang w:val="en-US"/>
        </w:rPr>
      </w:pPr>
      <w:proofErr w:type="spellStart"/>
      <w:r w:rsidRPr="00DA0DE2">
        <w:rPr>
          <w:rFonts w:ascii="Times New Roman" w:hAnsi="Times New Roman" w:cs="Times New Roman"/>
          <w:i/>
          <w:iCs/>
          <w:sz w:val="24"/>
          <w:szCs w:val="24"/>
          <w:lang w:val="en-US"/>
        </w:rPr>
        <w:t>Garis-garis</w:t>
      </w:r>
      <w:proofErr w:type="spellEnd"/>
      <w:r w:rsidRPr="00DA0DE2">
        <w:rPr>
          <w:rFonts w:ascii="Times New Roman" w:hAnsi="Times New Roman" w:cs="Times New Roman"/>
          <w:i/>
          <w:iCs/>
          <w:sz w:val="24"/>
          <w:szCs w:val="24"/>
          <w:lang w:val="en-US"/>
        </w:rPr>
        <w:t xml:space="preserve"> </w:t>
      </w:r>
      <w:proofErr w:type="spellStart"/>
      <w:r w:rsidRPr="00DA0DE2">
        <w:rPr>
          <w:rFonts w:ascii="Times New Roman" w:hAnsi="Times New Roman" w:cs="Times New Roman"/>
          <w:i/>
          <w:iCs/>
          <w:sz w:val="24"/>
          <w:szCs w:val="24"/>
          <w:lang w:val="en-US"/>
        </w:rPr>
        <w:t>Besar</w:t>
      </w:r>
      <w:proofErr w:type="spellEnd"/>
      <w:r w:rsidRPr="00DA0DE2">
        <w:rPr>
          <w:rFonts w:ascii="Times New Roman" w:hAnsi="Times New Roman" w:cs="Times New Roman"/>
          <w:i/>
          <w:iCs/>
          <w:sz w:val="24"/>
          <w:szCs w:val="24"/>
          <w:lang w:val="en-US"/>
        </w:rPr>
        <w:t xml:space="preserve"> </w:t>
      </w:r>
      <w:proofErr w:type="spellStart"/>
      <w:r w:rsidRPr="00DA0DE2">
        <w:rPr>
          <w:rFonts w:ascii="Times New Roman" w:hAnsi="Times New Roman" w:cs="Times New Roman"/>
          <w:i/>
          <w:iCs/>
          <w:sz w:val="24"/>
          <w:szCs w:val="24"/>
          <w:lang w:val="en-US"/>
        </w:rPr>
        <w:t>Fiqh</w:t>
      </w:r>
      <w:proofErr w:type="spellEnd"/>
    </w:p>
    <w:p w:rsidR="00A72B80" w:rsidRPr="00DA0DE2" w:rsidRDefault="00A72B80" w:rsidP="00A72B80">
      <w:pPr>
        <w:bidi/>
        <w:spacing w:after="0" w:line="480" w:lineRule="auto"/>
        <w:rPr>
          <w:rFonts w:ascii="Times New Roman" w:hAnsi="Times New Roman" w:cs="Times New Roman"/>
          <w:i/>
          <w:sz w:val="24"/>
          <w:szCs w:val="24"/>
          <w:lang w:val="en-US"/>
        </w:rPr>
      </w:pPr>
    </w:p>
    <w:p w:rsidR="00A72B80" w:rsidRDefault="00A72B80" w:rsidP="007B3507">
      <w:pPr>
        <w:bidi/>
        <w:spacing w:after="0" w:line="480" w:lineRule="auto"/>
        <w:rPr>
          <w:rFonts w:ascii="Times New Roman" w:hAnsi="Times New Roman" w:cs="Times New Roman"/>
          <w:i/>
          <w:sz w:val="24"/>
          <w:szCs w:val="24"/>
        </w:rPr>
      </w:pPr>
      <w:r w:rsidRPr="00DA0DE2">
        <w:rPr>
          <w:rFonts w:ascii="Times New Roman" w:hAnsi="Times New Roman" w:cs="Times New Roman"/>
          <w:i/>
          <w:sz w:val="24"/>
          <w:szCs w:val="24"/>
          <w:rtl/>
        </w:rPr>
        <w:t xml:space="preserve">يصف هذا الكتاب المواضيع الرئيسية في الفقه الإسلامي في ستة أقسام، كل قسم يلمّ بموضوع واحد. فيُستهل الكتاب بنقاش الفرق بين الشريعة والفقه والقانون الإسلامي مما يوفّر إطار عمل لتصنيف قضايا الفقه الإسلامي المعروضة في الأقسام اللاحقة. أما القسم الثاني فيصف العبادة المحضة. و القسمان الثالث والرابع يعالجان قضايا الأحوال الشخصية: كالزواج  و الطلاق و الإرث. و يلم القسمان الخامس والسادس بطائفة من القضايا المدنية و خاصة المعاملات و الجنايات. </w:t>
      </w:r>
    </w:p>
    <w:p w:rsidR="00D27B0D" w:rsidRPr="00D27B0D" w:rsidRDefault="00D27B0D" w:rsidP="00D27B0D">
      <w:pPr>
        <w:bidi/>
        <w:spacing w:after="0" w:line="480" w:lineRule="auto"/>
        <w:rPr>
          <w:rFonts w:ascii="Times New Roman" w:hAnsi="Times New Roman" w:cs="Times New Roman"/>
          <w:iCs/>
          <w:sz w:val="24"/>
          <w:szCs w:val="24"/>
          <w:rtl/>
        </w:rPr>
      </w:pPr>
    </w:p>
    <w:p w:rsidR="00A72B80" w:rsidRPr="00DA0DE2" w:rsidRDefault="00A72B80" w:rsidP="00A72B80">
      <w:pPr>
        <w:bidi/>
        <w:spacing w:after="0" w:line="480" w:lineRule="auto"/>
        <w:rPr>
          <w:rFonts w:ascii="Times New Roman" w:hAnsi="Times New Roman" w:cs="Times New Roman"/>
          <w:i/>
          <w:sz w:val="24"/>
          <w:szCs w:val="24"/>
          <w:rtl/>
        </w:rPr>
      </w:pPr>
      <w:r w:rsidRPr="00DA0DE2">
        <w:rPr>
          <w:rFonts w:ascii="Times New Roman" w:hAnsi="Times New Roman" w:cs="Times New Roman"/>
          <w:i/>
          <w:sz w:val="24"/>
          <w:szCs w:val="24"/>
          <w:rtl/>
        </w:rPr>
        <w:t>لقد كان الكتاب في الأصل مادة تدريسية لمحاضرات في الفقه للفصلين الثالث و الرابع في كلية الإسلام المحمدية بسنغافورة تبعا للمنهاج الدراسي الوطني عام ١٩٩٧. و كل قسم من الكتاب يناقش مغزى الموضوع المدروس، أسسه القانونية في القرآن و الحديث، غايته و الحكمة من ورائه. و الموضوعات المطروحة في الكتاب هي تلك المجمع عليها عند علماء أهل السنة، و إن كان المؤلف يتطرق الى اختلافهم في بعض المسائل.</w:t>
      </w:r>
    </w:p>
    <w:p w:rsidR="00A72B80" w:rsidRPr="00DA0DE2" w:rsidRDefault="00A72B80" w:rsidP="00A72B80">
      <w:pPr>
        <w:bidi/>
        <w:spacing w:after="0" w:line="480" w:lineRule="auto"/>
        <w:rPr>
          <w:rFonts w:ascii="Times New Roman" w:hAnsi="Times New Roman" w:cs="Times New Roman"/>
          <w:i/>
          <w:sz w:val="24"/>
          <w:szCs w:val="24"/>
          <w:rtl/>
        </w:rPr>
      </w:pPr>
    </w:p>
    <w:p w:rsidR="00A72B80" w:rsidRPr="00DA0DE2" w:rsidRDefault="00A72B80" w:rsidP="00A72B80">
      <w:pPr>
        <w:bidi/>
        <w:spacing w:after="0" w:line="480" w:lineRule="auto"/>
        <w:rPr>
          <w:rFonts w:ascii="Times New Roman" w:hAnsi="Times New Roman" w:cs="Times New Roman"/>
          <w:i/>
          <w:sz w:val="24"/>
          <w:szCs w:val="24"/>
          <w:rtl/>
        </w:rPr>
      </w:pPr>
      <w:r w:rsidRPr="00DA0DE2">
        <w:rPr>
          <w:rFonts w:ascii="Times New Roman" w:hAnsi="Times New Roman" w:cs="Times New Roman"/>
          <w:i/>
          <w:sz w:val="24"/>
          <w:szCs w:val="24"/>
          <w:rtl/>
        </w:rPr>
        <w:t>و رغم أن الكتاب مهتم بالفقه عامة، فهو مصدر مفيد للقراء، و خاصة الباحثين الجدد في هذا المجال كدليل لاتباع التعاليم الإسلامية و تطبيقها في حياتهم اليومية.</w:t>
      </w:r>
    </w:p>
    <w:p w:rsidR="00A72B80" w:rsidRPr="00DA0DE2" w:rsidRDefault="00A72B80" w:rsidP="00A72B80">
      <w:pPr>
        <w:bidi/>
        <w:spacing w:after="0" w:line="480" w:lineRule="auto"/>
        <w:rPr>
          <w:rFonts w:ascii="Times New Roman" w:hAnsi="Times New Roman" w:cs="Times New Roman"/>
          <w:i/>
          <w:sz w:val="24"/>
          <w:szCs w:val="24"/>
          <w:rtl/>
        </w:rPr>
      </w:pPr>
    </w:p>
    <w:p w:rsidR="00A72B80" w:rsidRPr="00DA0DE2" w:rsidRDefault="00A72B80" w:rsidP="00A72B80">
      <w:pPr>
        <w:bidi/>
        <w:spacing w:after="0" w:line="480" w:lineRule="auto"/>
        <w:rPr>
          <w:rFonts w:ascii="Times New Roman" w:hAnsi="Times New Roman" w:cs="Times New Roman"/>
          <w:i/>
          <w:sz w:val="24"/>
          <w:szCs w:val="24"/>
          <w:rtl/>
        </w:rPr>
      </w:pPr>
      <w:r w:rsidRPr="00DA0DE2">
        <w:rPr>
          <w:rFonts w:ascii="Times New Roman" w:hAnsi="Times New Roman" w:cs="Times New Roman"/>
          <w:i/>
          <w:sz w:val="24"/>
          <w:szCs w:val="24"/>
          <w:rtl/>
        </w:rPr>
        <w:t>زينول محمودي</w:t>
      </w:r>
    </w:p>
    <w:p w:rsidR="00A72B80" w:rsidRPr="00DA0DE2" w:rsidRDefault="00A72B80" w:rsidP="00A72B80">
      <w:pPr>
        <w:bidi/>
        <w:spacing w:after="0" w:line="480" w:lineRule="auto"/>
        <w:rPr>
          <w:rFonts w:ascii="Times New Roman" w:hAnsi="Times New Roman" w:cs="Times New Roman"/>
          <w:i/>
          <w:sz w:val="24"/>
          <w:szCs w:val="24"/>
          <w:rtl/>
        </w:rPr>
      </w:pPr>
      <w:r w:rsidRPr="00DA0DE2">
        <w:rPr>
          <w:rFonts w:ascii="Times New Roman" w:hAnsi="Times New Roman" w:cs="Times New Roman"/>
          <w:i/>
          <w:sz w:val="24"/>
          <w:szCs w:val="24"/>
          <w:rtl/>
        </w:rPr>
        <w:t>ترجمة حسين علي عبد الساتر</w:t>
      </w:r>
    </w:p>
    <w:sectPr w:rsidR="00A72B80" w:rsidRPr="00DA0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AE"/>
    <w:rsid w:val="000071C0"/>
    <w:rsid w:val="00083E80"/>
    <w:rsid w:val="00203D35"/>
    <w:rsid w:val="006C6B50"/>
    <w:rsid w:val="00791238"/>
    <w:rsid w:val="007B3507"/>
    <w:rsid w:val="008611AE"/>
    <w:rsid w:val="00936500"/>
    <w:rsid w:val="00A72B80"/>
    <w:rsid w:val="00B21EAE"/>
    <w:rsid w:val="00D2725A"/>
    <w:rsid w:val="00D27B0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3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203D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3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203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172</Words>
  <Characters>982</Characters>
  <Application>Microsoft Office Word</Application>
  <DocSecurity>0</DocSecurity>
  <Lines>8</Lines>
  <Paragraphs>2</Paragraphs>
  <ScaleCrop>false</ScaleCrop>
  <Company>Microsoft</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8</cp:revision>
  <dcterms:created xsi:type="dcterms:W3CDTF">2015-02-23T13:14:00Z</dcterms:created>
  <dcterms:modified xsi:type="dcterms:W3CDTF">2015-06-09T15:10:00Z</dcterms:modified>
</cp:coreProperties>
</file>