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4" w:rsidRPr="009D0E34" w:rsidRDefault="009D0E34" w:rsidP="009D0E3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ar-SY"/>
        </w:rPr>
      </w:pPr>
      <w:r w:rsidRPr="009D0E34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موسى، فاديغا. </w:t>
      </w:r>
      <w:r w:rsidRPr="009D0E34">
        <w:rPr>
          <w:rFonts w:ascii="Times New Roman" w:hAnsi="Times New Roman" w:cs="Times New Roman"/>
          <w:b/>
          <w:iCs/>
          <w:sz w:val="24"/>
          <w:szCs w:val="24"/>
          <w:rtl/>
          <w:lang w:bidi="ar-SY"/>
        </w:rPr>
        <w:t>أصول فقه الإمام مالك: أدلته العقلية</w:t>
      </w:r>
      <w:r w:rsidRPr="009D0E34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. الرياض: دار التدمرية، ٢٠٠٧، مجلدان، ٧٢٤ ص.</w:t>
      </w:r>
    </w:p>
    <w:p w:rsidR="009D0E34" w:rsidRPr="009D0E34" w:rsidRDefault="009D0E34" w:rsidP="009D0E34">
      <w:pPr>
        <w:bidi/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  <w:rtl/>
          <w:lang w:val="en-US"/>
        </w:rPr>
      </w:pPr>
    </w:p>
    <w:p w:rsidR="009D0E34" w:rsidRPr="009D0E34" w:rsidRDefault="009D0E34" w:rsidP="009D0E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E34">
        <w:rPr>
          <w:rFonts w:ascii="Times New Roman" w:hAnsi="Times New Roman" w:cs="Times New Roman"/>
          <w:sz w:val="24"/>
          <w:szCs w:val="24"/>
          <w:lang w:val="en-US"/>
        </w:rPr>
        <w:t xml:space="preserve">Musa, </w:t>
      </w:r>
      <w:proofErr w:type="spellStart"/>
      <w:r w:rsidRPr="009D0E34">
        <w:rPr>
          <w:rFonts w:ascii="Times New Roman" w:hAnsi="Times New Roman" w:cs="Times New Roman"/>
          <w:sz w:val="24"/>
          <w:szCs w:val="24"/>
          <w:lang w:val="en-US"/>
        </w:rPr>
        <w:t>Fadigha</w:t>
      </w:r>
      <w:proofErr w:type="spellEnd"/>
      <w:r w:rsidRPr="009D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>Usul</w:t>
      </w:r>
      <w:proofErr w:type="spellEnd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</w:t>
      </w:r>
      <w:proofErr w:type="spellEnd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al-Imam Malik: </w:t>
      </w:r>
      <w:proofErr w:type="spellStart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>Adillatuh</w:t>
      </w:r>
      <w:proofErr w:type="spellEnd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al-‘</w:t>
      </w:r>
      <w:proofErr w:type="spellStart"/>
      <w:r w:rsidRPr="009D0E34">
        <w:rPr>
          <w:rFonts w:ascii="Times New Roman" w:hAnsi="Times New Roman" w:cs="Times New Roman"/>
          <w:i/>
          <w:iCs/>
          <w:sz w:val="24"/>
          <w:szCs w:val="24"/>
          <w:lang w:val="en-US"/>
        </w:rPr>
        <w:t>Aqliyyah</w:t>
      </w:r>
      <w:proofErr w:type="spellEnd"/>
      <w:r w:rsidRPr="009D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0E34">
        <w:rPr>
          <w:rFonts w:ascii="Times New Roman" w:hAnsi="Times New Roman" w:cs="Times New Roman"/>
          <w:sz w:val="24"/>
          <w:szCs w:val="24"/>
        </w:rPr>
        <w:t>Riyadh: Dar al-</w:t>
      </w:r>
      <w:proofErr w:type="spellStart"/>
      <w:r w:rsidRPr="009D0E34">
        <w:rPr>
          <w:rFonts w:ascii="Times New Roman" w:hAnsi="Times New Roman" w:cs="Times New Roman"/>
          <w:sz w:val="24"/>
          <w:szCs w:val="24"/>
        </w:rPr>
        <w:t>Tadmuriyyah</w:t>
      </w:r>
      <w:proofErr w:type="spellEnd"/>
      <w:r w:rsidRPr="009D0E34">
        <w:rPr>
          <w:rFonts w:ascii="Times New Roman" w:hAnsi="Times New Roman" w:cs="Times New Roman"/>
          <w:sz w:val="24"/>
          <w:szCs w:val="24"/>
        </w:rPr>
        <w:t>, 2007,</w:t>
      </w:r>
      <w:r w:rsidRPr="009D0E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0E3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gramStart"/>
      <w:r w:rsidRPr="009D0E34">
        <w:rPr>
          <w:rFonts w:ascii="Times New Roman" w:hAnsi="Times New Roman" w:cs="Times New Roman"/>
          <w:sz w:val="24"/>
          <w:szCs w:val="24"/>
          <w:lang w:val="en-US"/>
        </w:rPr>
        <w:t>vols.,</w:t>
      </w:r>
      <w:proofErr w:type="gramEnd"/>
      <w:r w:rsidRPr="009D0E34">
        <w:rPr>
          <w:rFonts w:ascii="Times New Roman" w:hAnsi="Times New Roman" w:cs="Times New Roman"/>
          <w:sz w:val="24"/>
          <w:szCs w:val="24"/>
          <w:lang w:val="en-US"/>
        </w:rPr>
        <w:t xml:space="preserve"> 724pp.</w:t>
      </w:r>
    </w:p>
    <w:p w:rsidR="0010513B" w:rsidRPr="003421A9" w:rsidRDefault="0010513B" w:rsidP="0010513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513B" w:rsidRPr="009D0E34" w:rsidRDefault="0010513B" w:rsidP="001051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r w:rsidRPr="009D0E34">
        <w:rPr>
          <w:rFonts w:ascii="Times New Roman" w:hAnsi="Times New Roman" w:cs="Times New Roman"/>
          <w:b/>
          <w:bCs/>
          <w:sz w:val="24"/>
          <w:szCs w:val="24"/>
          <w:lang w:val="tr-TR"/>
        </w:rPr>
        <w:t>ABSTRACT</w:t>
      </w:r>
    </w:p>
    <w:bookmarkEnd w:id="0"/>
    <w:p w:rsidR="0010513B" w:rsidRPr="003421A9" w:rsidRDefault="0010513B" w:rsidP="001051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0513B" w:rsidRPr="003421A9" w:rsidRDefault="0010513B" w:rsidP="0010513B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1A9">
        <w:rPr>
          <w:rFonts w:ascii="Times New Roman" w:hAnsi="Times New Roman" w:cs="Times New Roman"/>
          <w:b/>
          <w:color w:val="000000"/>
          <w:sz w:val="24"/>
          <w:szCs w:val="24"/>
        </w:rPr>
        <w:t>Rationality in Imam Malik’s Jurisprudence</w:t>
      </w:r>
    </w:p>
    <w:p w:rsidR="0010513B" w:rsidRPr="003421A9" w:rsidRDefault="0010513B" w:rsidP="001051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513B" w:rsidRPr="003421A9" w:rsidRDefault="0010513B" w:rsidP="0010513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421A9">
        <w:rPr>
          <w:rFonts w:ascii="Times New Roman" w:hAnsi="Times New Roman" w:cs="Times New Roman"/>
          <w:i/>
          <w:iCs/>
          <w:sz w:val="24"/>
          <w:szCs w:val="24"/>
          <w:rtl/>
          <w:lang w:val="tr-TR" w:bidi="ar-SY"/>
        </w:rPr>
        <w:t>أصول فقه الإمام مالك: أدلته العقلية</w:t>
      </w:r>
    </w:p>
    <w:p w:rsidR="0010513B" w:rsidRPr="003421A9" w:rsidRDefault="0010513B" w:rsidP="0010513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Originally a thesis titled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Adilla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al-‘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Aqliya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‘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Ind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al-Imam Malik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this two-volume book endeavours to reveal the rational method used by Malik ibn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Anas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the eponym of the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Malikite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School of Law, to deduce law from its main sources (the Qur’an and Sunna). While faithful to the spirit of his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Medinese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predecessors who emphasised the practice of the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Medinese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community (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amal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ahl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al-Madinah</w:t>
      </w:r>
      <w:r w:rsidRPr="003421A9">
        <w:rPr>
          <w:rFonts w:ascii="Times New Roman" w:hAnsi="Times New Roman" w:cs="Times New Roman"/>
          <w:bCs/>
          <w:sz w:val="24"/>
          <w:szCs w:val="24"/>
        </w:rPr>
        <w:t>) and prophetic traditions,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Malik was known for his strong opinions and his rational methods of inferring law. Partly, this could be due to his education by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Rabi‘ah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ibn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Abi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Abd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al-Rahman, nicknamed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Rabi‘at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Ra’y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Medinese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scholar who showed a strong inclination towards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ra’y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(personal opinion). </w:t>
      </w: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In the introduction,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Fadigha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Musa emphasises the importance of studying the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of Malik. The preface includes a selected bibliography. He provides a short biography of Malik and discusses the division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adilla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(evidence) into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naqliya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(transmitted) and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aqliya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(reasoned), and the meaning and usage of the latter according to Malik. </w:t>
      </w: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following pages discuss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adilla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al-‘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aqliyah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3421A9">
        <w:rPr>
          <w:rFonts w:ascii="Times New Roman" w:hAnsi="Times New Roman" w:cs="Times New Roman"/>
          <w:sz w:val="24"/>
          <w:szCs w:val="24"/>
        </w:rPr>
        <w:t>intellectual proofs)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in seven chapters, each of which focuses on rational methods of inferring law, namely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qiyas</w:t>
      </w:r>
      <w:proofErr w:type="spellEnd"/>
      <w:r w:rsidRPr="003421A9">
        <w:rPr>
          <w:rFonts w:ascii="Times New Roman" w:hAnsi="Times New Roman" w:cs="Times New Roman"/>
          <w:bCs/>
          <w:iCs/>
          <w:sz w:val="24"/>
          <w:szCs w:val="24"/>
        </w:rPr>
        <w:t xml:space="preserve"> (analogical reasoning)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istihsan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(discretion)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maslaha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mursalah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(public interest)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urf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(custom)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istishab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(presumption of existing facts)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zari‘ah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 xml:space="preserve">(concealing matters, leading to 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haram</w:t>
      </w:r>
      <w:r w:rsidRPr="003421A9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istiqra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>’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The book ends with summary of important points. In general, each chapter, which is divided into section and subject, follows the same pattern. </w:t>
      </w: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By providing abundant examples of Malik’s viewpoints that indicate his frequent use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ra’y</w:t>
      </w:r>
      <w:proofErr w:type="spellEnd"/>
      <w:r w:rsidRPr="003421A9">
        <w:rPr>
          <w:rFonts w:ascii="Times New Roman" w:hAnsi="Times New Roman" w:cs="Times New Roman"/>
          <w:bCs/>
          <w:iCs/>
          <w:sz w:val="24"/>
          <w:szCs w:val="24"/>
        </w:rPr>
        <w:t xml:space="preserve"> in legal cases,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the book serves its purpose of describing Malik’s rational methods of legal reasoning. Readers who are familiar with terms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will benefit from the comparative perspective of the book. Since Malik himself did not write a book on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an attempt to construct his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should inevitably examine his opinions or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fatwa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and scrutinise his disciples. However, due to its projection of Malik’s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into the era when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is already fully-fledged, such an approach might do an injustice to Malik’s method. </w:t>
      </w:r>
    </w:p>
    <w:p w:rsidR="0010513B" w:rsidRPr="003421A9" w:rsidRDefault="0010513B" w:rsidP="001051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13B" w:rsidRPr="003421A9" w:rsidRDefault="0010513B" w:rsidP="0010513B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Raden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Cecep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Lukman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Yasin</w:t>
      </w:r>
      <w:proofErr w:type="spellEnd"/>
    </w:p>
    <w:p w:rsidR="009A0E2D" w:rsidRDefault="009D0E34"/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B"/>
    <w:rsid w:val="000071C0"/>
    <w:rsid w:val="00083E80"/>
    <w:rsid w:val="0010513B"/>
    <w:rsid w:val="006C6B50"/>
    <w:rsid w:val="00791238"/>
    <w:rsid w:val="009D0E34"/>
    <w:rsid w:val="009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3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3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3</cp:revision>
  <dcterms:created xsi:type="dcterms:W3CDTF">2015-02-23T16:13:00Z</dcterms:created>
  <dcterms:modified xsi:type="dcterms:W3CDTF">2015-06-09T12:18:00Z</dcterms:modified>
</cp:coreProperties>
</file>