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6" w:rsidRPr="00D70446" w:rsidRDefault="00D70446" w:rsidP="00D7044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D70446">
        <w:rPr>
          <w:rFonts w:ascii="Times New Roman" w:hAnsi="Times New Roman" w:cs="Times New Roman"/>
          <w:sz w:val="24"/>
          <w:szCs w:val="24"/>
          <w:lang w:val="en-AU"/>
        </w:rPr>
        <w:t>Yusdani</w:t>
      </w:r>
      <w:proofErr w:type="spellEnd"/>
      <w:r w:rsidRPr="00D70446">
        <w:rPr>
          <w:rFonts w:ascii="Times New Roman" w:hAnsi="Times New Roman" w:cs="Times New Roman"/>
          <w:sz w:val="24"/>
          <w:szCs w:val="24"/>
          <w:lang w:val="en-AU"/>
        </w:rPr>
        <w:t xml:space="preserve">, Amir </w:t>
      </w:r>
      <w:proofErr w:type="spellStart"/>
      <w:r w:rsidRPr="00D70446">
        <w:rPr>
          <w:rFonts w:ascii="Times New Roman" w:hAnsi="Times New Roman" w:cs="Times New Roman"/>
          <w:sz w:val="24"/>
          <w:szCs w:val="24"/>
          <w:lang w:val="en-AU"/>
        </w:rPr>
        <w:t>Mu‘allim</w:t>
      </w:r>
      <w:proofErr w:type="spellEnd"/>
      <w:r w:rsidRPr="00D70446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 w:rsidRPr="00D7044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>Ijtihad</w:t>
      </w:r>
      <w:proofErr w:type="spellEnd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>dan</w:t>
      </w:r>
      <w:proofErr w:type="spellEnd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>Legislasi</w:t>
      </w:r>
      <w:proofErr w:type="spellEnd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Muslim </w:t>
      </w:r>
      <w:proofErr w:type="spellStart"/>
      <w:r w:rsidRPr="00D70446">
        <w:rPr>
          <w:rFonts w:ascii="Times New Roman" w:hAnsi="Times New Roman" w:cs="Times New Roman"/>
          <w:i/>
          <w:iCs/>
          <w:sz w:val="24"/>
          <w:szCs w:val="24"/>
          <w:lang w:val="en-AU"/>
        </w:rPr>
        <w:t>Kontemporer</w:t>
      </w:r>
      <w:proofErr w:type="spellEnd"/>
      <w:r w:rsidRPr="00D70446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 w:rsidRPr="00D70446">
        <w:rPr>
          <w:rFonts w:ascii="Times New Roman" w:hAnsi="Times New Roman" w:cs="Times New Roman"/>
          <w:sz w:val="24"/>
          <w:szCs w:val="24"/>
          <w:rtl/>
          <w:lang w:val="en-AU"/>
        </w:rPr>
        <w:t xml:space="preserve"> </w:t>
      </w:r>
      <w:r w:rsidRPr="00D70446">
        <w:rPr>
          <w:rFonts w:ascii="Times New Roman" w:hAnsi="Times New Roman" w:cs="Times New Roman"/>
          <w:sz w:val="24"/>
          <w:szCs w:val="24"/>
          <w:lang w:val="en-AU"/>
        </w:rPr>
        <w:t>Yogyakarta: UII Press, 2005, 193pp.</w:t>
      </w:r>
    </w:p>
    <w:p w:rsidR="004B4883" w:rsidRPr="003421A9" w:rsidRDefault="004B4883" w:rsidP="004B488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:rsidR="004B4883" w:rsidRPr="00D70446" w:rsidRDefault="004B4883" w:rsidP="004B48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r w:rsidRPr="00D70446">
        <w:rPr>
          <w:rFonts w:ascii="Times New Roman" w:hAnsi="Times New Roman" w:cs="Times New Roman"/>
          <w:b/>
          <w:bCs/>
          <w:sz w:val="24"/>
          <w:szCs w:val="24"/>
          <w:lang w:val="en-AU"/>
        </w:rPr>
        <w:t>ABSTRACT</w:t>
      </w:r>
    </w:p>
    <w:bookmarkEnd w:id="0"/>
    <w:p w:rsidR="004B4883" w:rsidRPr="003421A9" w:rsidRDefault="004B4883" w:rsidP="004B48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4B4883" w:rsidRPr="003421A9" w:rsidRDefault="004B4883" w:rsidP="004B4883">
      <w:pPr>
        <w:pStyle w:val="internalpagefonts"/>
        <w:spacing w:before="0" w:beforeAutospacing="0" w:after="0" w:afterAutospacing="0" w:line="480" w:lineRule="auto"/>
        <w:jc w:val="center"/>
        <w:rPr>
          <w:rStyle w:val="summary"/>
          <w:rFonts w:ascii="Times New Roman" w:eastAsia="Calibri" w:hAnsi="Times New Roman" w:cs="Times New Roman"/>
          <w:lang w:val="en-GB"/>
        </w:rPr>
      </w:pPr>
      <w:proofErr w:type="spellStart"/>
      <w:r w:rsidRPr="003421A9">
        <w:rPr>
          <w:rStyle w:val="summary"/>
          <w:rFonts w:ascii="Times New Roman" w:hAnsi="Times New Roman" w:cs="Times New Roman"/>
          <w:b/>
          <w:bCs/>
        </w:rPr>
        <w:t>Ijtihad</w:t>
      </w:r>
      <w:proofErr w:type="spellEnd"/>
      <w:r w:rsidRPr="003421A9">
        <w:rPr>
          <w:rStyle w:val="summary"/>
          <w:rFonts w:ascii="Times New Roman" w:hAnsi="Times New Roman" w:cs="Times New Roman"/>
          <w:b/>
          <w:bCs/>
        </w:rPr>
        <w:t xml:space="preserve"> and Contemporary Muslim Legislation</w:t>
      </w:r>
    </w:p>
    <w:p w:rsidR="004B4883" w:rsidRPr="003421A9" w:rsidRDefault="004B4883" w:rsidP="004B4883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:rsidR="004B4883" w:rsidRPr="003421A9" w:rsidRDefault="004B4883" w:rsidP="004B4883">
      <w:pPr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</w:pP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Ijtihad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dan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Legislasi</w:t>
      </w:r>
      <w:proofErr w:type="spellEnd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 xml:space="preserve"> Muslim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en-AU"/>
        </w:rPr>
        <w:t>Kontemporer</w:t>
      </w:r>
      <w:proofErr w:type="spellEnd"/>
    </w:p>
    <w:p w:rsidR="004B4883" w:rsidRPr="003421A9" w:rsidRDefault="004B4883" w:rsidP="004B488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This work presents a scholarly study of the science of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: its history, methodology, principle exponents and application to Indonesia today.</w:t>
      </w:r>
    </w:p>
    <w:p w:rsidR="004B4883" w:rsidRPr="003421A9" w:rsidRDefault="004B4883" w:rsidP="004B4883">
      <w:pPr>
        <w:pStyle w:val="internalpagefonts"/>
        <w:spacing w:before="0" w:beforeAutospacing="0" w:after="0" w:afterAutospacing="0" w:line="480" w:lineRule="auto"/>
        <w:jc w:val="both"/>
        <w:rPr>
          <w:rFonts w:ascii="Times New Roman" w:eastAsia="Times New Roman" w:hAnsi="Times New Roman" w:cs="Times New Roman"/>
        </w:rPr>
      </w:pP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It begins with a scholarly foreword by Professor H. A. </w:t>
      </w:r>
      <w:proofErr w:type="spellStart"/>
      <w:r w:rsidRPr="003421A9">
        <w:rPr>
          <w:rFonts w:ascii="Times New Roman" w:hAnsi="Times New Roman" w:cs="Times New Roman"/>
          <w:sz w:val="24"/>
          <w:szCs w:val="24"/>
        </w:rPr>
        <w:t>Minhaji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, addressing authority, continuity and change in the history of Islamic jurisprudence. This is followed by ten chapters and a comprehensive bibliography. The order of presentation of the material by chapters is the history of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sz w:val="24"/>
          <w:szCs w:val="24"/>
        </w:rPr>
        <w:t xml:space="preserve">(independent interpretation for making legal decisions), use of the Qur’an and hadith in the application of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, various schools of thought on the question of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, the necessary qualifications for the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mujtahid</w:t>
      </w:r>
      <w:proofErr w:type="spellEnd"/>
      <w:r w:rsidRPr="003421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sz w:val="24"/>
          <w:szCs w:val="24"/>
        </w:rPr>
        <w:t>(scholar of Islamic law), and the application of the principles to the context and needs of modern Indonesia.</w:t>
      </w: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 xml:space="preserve">The author quickly makes clear his belief in the need for ongoing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 xml:space="preserve"> so that Islamic texts and teaching can keep pace with the modern world. The author’s scholarly methodology is rigorous: he systematically identifies his sources, engages with relevant scholarly debates, and draws on both Muslim and non-Muslim scholarly sources. </w:t>
      </w: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lastRenderedPageBreak/>
        <w:t xml:space="preserve">This is a very useful work, both in terms of its valuable foreword and its main study of </w:t>
      </w:r>
      <w:proofErr w:type="spellStart"/>
      <w:r w:rsidRPr="003421A9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sz w:val="24"/>
          <w:szCs w:val="24"/>
        </w:rPr>
        <w:t>, which is such an important concept in today’s Muslim societies. This volume deserves inclusion in relevant university reading lists.</w:t>
      </w:r>
    </w:p>
    <w:p w:rsidR="004B4883" w:rsidRPr="003421A9" w:rsidRDefault="004B4883" w:rsidP="004B4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83" w:rsidRPr="003421A9" w:rsidRDefault="004B4883" w:rsidP="004B488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sz w:val="24"/>
          <w:szCs w:val="24"/>
        </w:rPr>
        <w:t>Peter G. Riddell</w:t>
      </w:r>
    </w:p>
    <w:p w:rsidR="009A0E2D" w:rsidRDefault="00D70446"/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6"/>
    <w:rsid w:val="000071C0"/>
    <w:rsid w:val="00083E80"/>
    <w:rsid w:val="00233246"/>
    <w:rsid w:val="004B4883"/>
    <w:rsid w:val="006C6B50"/>
    <w:rsid w:val="00791238"/>
    <w:rsid w:val="00D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8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pagefonts">
    <w:name w:val="internalpagefonts"/>
    <w:basedOn w:val="Normal"/>
    <w:rsid w:val="004B48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character" w:customStyle="1" w:styleId="summary">
    <w:name w:val="summary"/>
    <w:basedOn w:val="DefaultParagraphFont"/>
    <w:rsid w:val="004B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8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pagefonts">
    <w:name w:val="internalpagefonts"/>
    <w:basedOn w:val="Normal"/>
    <w:rsid w:val="004B48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character" w:customStyle="1" w:styleId="summary">
    <w:name w:val="summary"/>
    <w:basedOn w:val="DefaultParagraphFont"/>
    <w:rsid w:val="004B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3</cp:revision>
  <dcterms:created xsi:type="dcterms:W3CDTF">2015-02-23T13:35:00Z</dcterms:created>
  <dcterms:modified xsi:type="dcterms:W3CDTF">2015-06-09T10:24:00Z</dcterms:modified>
</cp:coreProperties>
</file>