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3B" w:rsidRPr="0015373B" w:rsidRDefault="0015373B" w:rsidP="0015373B">
      <w:pPr>
        <w:bidi/>
        <w:spacing w:after="0" w:line="480" w:lineRule="auto"/>
        <w:rPr>
          <w:rFonts w:ascii="Times New Roman" w:hAnsi="Times New Roman" w:cs="Times New Roman"/>
          <w:b/>
          <w:i/>
          <w:sz w:val="24"/>
          <w:szCs w:val="24"/>
          <w:lang w:bidi="fa-IR"/>
        </w:rPr>
      </w:pPr>
      <w:r w:rsidRPr="0015373B">
        <w:rPr>
          <w:rFonts w:ascii="Times New Roman" w:hAnsi="Times New Roman" w:cs="Times New Roman"/>
          <w:b/>
          <w:i/>
          <w:sz w:val="24"/>
          <w:szCs w:val="24"/>
          <w:rtl/>
          <w:lang w:bidi="fa-IR"/>
        </w:rPr>
        <w:t xml:space="preserve">زحيلي، وهبة. </w:t>
      </w:r>
      <w:r w:rsidRPr="0015373B">
        <w:rPr>
          <w:rFonts w:ascii="Times New Roman" w:hAnsi="Times New Roman" w:cs="Times New Roman"/>
          <w:b/>
          <w:iCs/>
          <w:sz w:val="24"/>
          <w:szCs w:val="24"/>
          <w:rtl/>
          <w:lang w:bidi="fa-IR"/>
        </w:rPr>
        <w:t>أصول الفقه الاسلامي</w:t>
      </w:r>
      <w:r w:rsidRPr="0015373B">
        <w:rPr>
          <w:rFonts w:ascii="Times New Roman" w:hAnsi="Times New Roman" w:cs="Times New Roman"/>
          <w:b/>
          <w:i/>
          <w:sz w:val="24"/>
          <w:szCs w:val="24"/>
          <w:rtl/>
          <w:lang w:bidi="fa-IR"/>
        </w:rPr>
        <w:t>. دمشق: دار الفکر، ١٩٨٦، مجلدان ١٢٣٠ ص.</w:t>
      </w:r>
    </w:p>
    <w:p w:rsidR="0015373B" w:rsidRPr="0015373B" w:rsidRDefault="0015373B" w:rsidP="0015373B">
      <w:pPr>
        <w:bidi/>
        <w:spacing w:after="0" w:line="480" w:lineRule="auto"/>
        <w:rPr>
          <w:rFonts w:ascii="Times New Roman" w:hAnsi="Times New Roman" w:cs="Times New Roman"/>
          <w:b/>
          <w:i/>
          <w:sz w:val="24"/>
          <w:szCs w:val="24"/>
          <w:lang w:bidi="fa-IR"/>
        </w:rPr>
      </w:pPr>
      <w:bookmarkStart w:id="0" w:name="_GoBack"/>
      <w:bookmarkEnd w:id="0"/>
    </w:p>
    <w:p w:rsidR="00385308" w:rsidRPr="002000CD" w:rsidRDefault="0015373B" w:rsidP="0015373B">
      <w:pPr>
        <w:spacing w:after="0" w:line="480" w:lineRule="auto"/>
        <w:rPr>
          <w:rFonts w:ascii="Times New Roman" w:hAnsi="Times New Roman" w:cs="Times New Roman"/>
          <w:bCs/>
          <w:sz w:val="24"/>
          <w:szCs w:val="24"/>
          <w:lang w:val="en-US"/>
        </w:rPr>
      </w:pPr>
      <w:proofErr w:type="spellStart"/>
      <w:r w:rsidRPr="0015373B">
        <w:rPr>
          <w:rFonts w:ascii="Times New Roman" w:hAnsi="Times New Roman" w:cs="Times New Roman"/>
          <w:bCs/>
          <w:iCs/>
          <w:sz w:val="24"/>
          <w:szCs w:val="24"/>
          <w:lang w:val="en-US"/>
        </w:rPr>
        <w:t>Zuhayli</w:t>
      </w:r>
      <w:proofErr w:type="spellEnd"/>
      <w:r w:rsidRPr="0015373B">
        <w:rPr>
          <w:rFonts w:ascii="Times New Roman" w:hAnsi="Times New Roman" w:cs="Times New Roman"/>
          <w:bCs/>
          <w:iCs/>
          <w:sz w:val="24"/>
          <w:szCs w:val="24"/>
          <w:lang w:val="en-US"/>
        </w:rPr>
        <w:t xml:space="preserve">, </w:t>
      </w:r>
      <w:proofErr w:type="spellStart"/>
      <w:r w:rsidRPr="0015373B">
        <w:rPr>
          <w:rFonts w:ascii="Times New Roman" w:hAnsi="Times New Roman" w:cs="Times New Roman"/>
          <w:bCs/>
          <w:iCs/>
          <w:sz w:val="24"/>
          <w:szCs w:val="24"/>
          <w:lang w:val="en-US"/>
        </w:rPr>
        <w:t>Wahbah</w:t>
      </w:r>
      <w:proofErr w:type="spellEnd"/>
      <w:r w:rsidRPr="0015373B">
        <w:rPr>
          <w:rFonts w:ascii="Times New Roman" w:hAnsi="Times New Roman" w:cs="Times New Roman"/>
          <w:bCs/>
          <w:iCs/>
          <w:sz w:val="24"/>
          <w:szCs w:val="24"/>
          <w:lang w:val="en-US"/>
        </w:rPr>
        <w:t xml:space="preserve">. </w:t>
      </w:r>
      <w:proofErr w:type="spellStart"/>
      <w:proofErr w:type="gramStart"/>
      <w:r w:rsidRPr="0015373B">
        <w:rPr>
          <w:rFonts w:ascii="Times New Roman" w:hAnsi="Times New Roman" w:cs="Times New Roman"/>
          <w:bCs/>
          <w:i/>
          <w:sz w:val="24"/>
          <w:szCs w:val="24"/>
          <w:lang w:val="en-US"/>
        </w:rPr>
        <w:t>Usul</w:t>
      </w:r>
      <w:proofErr w:type="spellEnd"/>
      <w:r w:rsidRPr="0015373B">
        <w:rPr>
          <w:rFonts w:ascii="Times New Roman" w:hAnsi="Times New Roman" w:cs="Times New Roman"/>
          <w:bCs/>
          <w:i/>
          <w:sz w:val="24"/>
          <w:szCs w:val="24"/>
          <w:lang w:val="en-US"/>
        </w:rPr>
        <w:t xml:space="preserve"> al-</w:t>
      </w:r>
      <w:proofErr w:type="spellStart"/>
      <w:r w:rsidRPr="0015373B">
        <w:rPr>
          <w:rFonts w:ascii="Times New Roman" w:hAnsi="Times New Roman" w:cs="Times New Roman"/>
          <w:bCs/>
          <w:i/>
          <w:sz w:val="24"/>
          <w:szCs w:val="24"/>
          <w:lang w:val="en-US"/>
        </w:rPr>
        <w:t>Fiqh</w:t>
      </w:r>
      <w:proofErr w:type="spellEnd"/>
      <w:r w:rsidRPr="0015373B">
        <w:rPr>
          <w:rFonts w:ascii="Times New Roman" w:hAnsi="Times New Roman" w:cs="Times New Roman"/>
          <w:bCs/>
          <w:i/>
          <w:sz w:val="24"/>
          <w:szCs w:val="24"/>
          <w:lang w:val="en-US"/>
        </w:rPr>
        <w:t xml:space="preserve"> al-</w:t>
      </w:r>
      <w:proofErr w:type="spellStart"/>
      <w:r w:rsidRPr="0015373B">
        <w:rPr>
          <w:rFonts w:ascii="Times New Roman" w:hAnsi="Times New Roman" w:cs="Times New Roman"/>
          <w:bCs/>
          <w:i/>
          <w:sz w:val="24"/>
          <w:szCs w:val="24"/>
          <w:lang w:val="en-US"/>
        </w:rPr>
        <w:t>Islami</w:t>
      </w:r>
      <w:proofErr w:type="spellEnd"/>
      <w:r w:rsidRPr="0015373B">
        <w:rPr>
          <w:rFonts w:ascii="Times New Roman" w:hAnsi="Times New Roman" w:cs="Times New Roman"/>
          <w:bCs/>
          <w:iCs/>
          <w:sz w:val="24"/>
          <w:szCs w:val="24"/>
          <w:lang w:val="en-US"/>
        </w:rPr>
        <w:t>.</w:t>
      </w:r>
      <w:proofErr w:type="gramEnd"/>
      <w:r w:rsidRPr="0015373B">
        <w:rPr>
          <w:rFonts w:ascii="Times New Roman" w:hAnsi="Times New Roman" w:cs="Times New Roman"/>
          <w:bCs/>
          <w:iCs/>
          <w:sz w:val="24"/>
          <w:szCs w:val="24"/>
          <w:lang w:val="en-US"/>
        </w:rPr>
        <w:t xml:space="preserve"> </w:t>
      </w:r>
      <w:proofErr w:type="spellStart"/>
      <w:r w:rsidR="00385308" w:rsidRPr="00074A2D">
        <w:rPr>
          <w:rFonts w:ascii="Times New Roman" w:eastAsia="Arial Unicode MS" w:hAnsi="Times New Roman" w:cs="Times New Roman"/>
          <w:bCs/>
          <w:sz w:val="24"/>
          <w:szCs w:val="24"/>
          <w:lang w:val="en-US"/>
        </w:rPr>
        <w:t>Ş</w:t>
      </w:r>
      <w:r w:rsidR="00385308" w:rsidRPr="00074A2D">
        <w:rPr>
          <w:rFonts w:ascii="Times New Roman" w:hAnsi="Times New Roman" w:cs="Times New Roman"/>
          <w:bCs/>
          <w:sz w:val="24"/>
          <w:szCs w:val="24"/>
          <w:lang w:val="en-US"/>
        </w:rPr>
        <w:t>am</w:t>
      </w:r>
      <w:proofErr w:type="spellEnd"/>
      <w:r w:rsidR="00385308" w:rsidRPr="002000CD">
        <w:rPr>
          <w:rFonts w:ascii="Times New Roman" w:hAnsi="Times New Roman" w:cs="Times New Roman"/>
          <w:bCs/>
          <w:sz w:val="24"/>
          <w:szCs w:val="24"/>
          <w:lang w:val="en-US"/>
        </w:rPr>
        <w:t>: Dar al-</w:t>
      </w:r>
      <w:proofErr w:type="spellStart"/>
      <w:r w:rsidR="00385308" w:rsidRPr="002000CD">
        <w:rPr>
          <w:rFonts w:ascii="Times New Roman" w:hAnsi="Times New Roman" w:cs="Times New Roman"/>
          <w:bCs/>
          <w:sz w:val="24"/>
          <w:szCs w:val="24"/>
          <w:lang w:val="en-US"/>
        </w:rPr>
        <w:t>Fikr</w:t>
      </w:r>
      <w:proofErr w:type="spellEnd"/>
      <w:r w:rsidR="00385308" w:rsidRPr="002000CD">
        <w:rPr>
          <w:rFonts w:ascii="Times New Roman" w:hAnsi="Times New Roman" w:cs="Times New Roman"/>
          <w:bCs/>
          <w:sz w:val="24"/>
          <w:szCs w:val="24"/>
          <w:lang w:val="en-US"/>
        </w:rPr>
        <w:t xml:space="preserve">, 1986, 2 </w:t>
      </w:r>
      <w:proofErr w:type="spellStart"/>
      <w:r w:rsidR="00385308" w:rsidRPr="002000CD">
        <w:rPr>
          <w:rFonts w:ascii="Times New Roman" w:hAnsi="Times New Roman" w:cs="Times New Roman"/>
          <w:bCs/>
          <w:sz w:val="24"/>
          <w:szCs w:val="24"/>
          <w:lang w:val="en-US"/>
        </w:rPr>
        <w:t>cilt</w:t>
      </w:r>
      <w:proofErr w:type="spellEnd"/>
      <w:r w:rsidR="00385308" w:rsidRPr="002000CD">
        <w:rPr>
          <w:rFonts w:ascii="Times New Roman" w:hAnsi="Times New Roman" w:cs="Times New Roman"/>
          <w:bCs/>
          <w:sz w:val="24"/>
          <w:szCs w:val="24"/>
          <w:lang w:val="en-US"/>
        </w:rPr>
        <w:t>, 1230 s.</w:t>
      </w:r>
    </w:p>
    <w:p w:rsidR="00385308" w:rsidRPr="002000CD" w:rsidRDefault="00385308" w:rsidP="00385308">
      <w:pPr>
        <w:spacing w:after="0" w:line="480" w:lineRule="auto"/>
        <w:rPr>
          <w:rFonts w:ascii="Times New Roman" w:hAnsi="Times New Roman" w:cs="Times New Roman"/>
          <w:b/>
          <w:bCs/>
          <w:sz w:val="24"/>
          <w:szCs w:val="24"/>
          <w:lang w:val="en-US"/>
        </w:rPr>
      </w:pPr>
    </w:p>
    <w:p w:rsidR="00385308" w:rsidRPr="0015373B" w:rsidRDefault="00385308" w:rsidP="00385308">
      <w:pPr>
        <w:spacing w:after="0" w:line="480" w:lineRule="auto"/>
        <w:jc w:val="center"/>
        <w:rPr>
          <w:rFonts w:ascii="Times New Roman" w:hAnsi="Times New Roman" w:cs="Times New Roman"/>
          <w:b/>
          <w:bCs/>
          <w:sz w:val="24"/>
          <w:szCs w:val="24"/>
          <w:lang w:val="en-US"/>
        </w:rPr>
      </w:pPr>
      <w:r w:rsidRPr="0015373B">
        <w:rPr>
          <w:rFonts w:ascii="Times New Roman" w:hAnsi="Times New Roman" w:cs="Times New Roman"/>
          <w:b/>
          <w:bCs/>
          <w:sz w:val="24"/>
          <w:szCs w:val="24"/>
          <w:lang w:val="en-US"/>
        </w:rPr>
        <w:t>ÖZET</w:t>
      </w:r>
    </w:p>
    <w:p w:rsidR="00385308" w:rsidRPr="002000CD" w:rsidRDefault="00385308" w:rsidP="00385308">
      <w:pPr>
        <w:spacing w:after="0" w:line="480" w:lineRule="auto"/>
        <w:jc w:val="center"/>
        <w:rPr>
          <w:rFonts w:ascii="Times New Roman" w:hAnsi="Times New Roman" w:cs="Times New Roman"/>
          <w:b/>
          <w:bCs/>
          <w:sz w:val="24"/>
          <w:szCs w:val="24"/>
          <w:lang w:val="en-US"/>
        </w:rPr>
      </w:pPr>
    </w:p>
    <w:p w:rsidR="00385308" w:rsidRDefault="00385308" w:rsidP="00385308">
      <w:pPr>
        <w:spacing w:after="0" w:line="480" w:lineRule="auto"/>
        <w:jc w:val="center"/>
        <w:rPr>
          <w:rFonts w:ascii="Times New Roman" w:hAnsi="Times New Roman" w:cs="Times New Roman"/>
          <w:b/>
          <w:bCs/>
          <w:iCs/>
          <w:sz w:val="24"/>
          <w:szCs w:val="24"/>
          <w:lang w:val="tr-TR"/>
        </w:rPr>
      </w:pPr>
      <w:r w:rsidRPr="002000CD">
        <w:rPr>
          <w:rFonts w:ascii="Times New Roman" w:hAnsi="Times New Roman" w:cs="Times New Roman"/>
          <w:b/>
          <w:bCs/>
          <w:iCs/>
          <w:sz w:val="24"/>
          <w:szCs w:val="24"/>
          <w:lang w:val="tr-TR"/>
        </w:rPr>
        <w:t>Fıkıh Usulü</w:t>
      </w:r>
    </w:p>
    <w:p w:rsidR="00385308" w:rsidRPr="002000CD" w:rsidRDefault="00385308" w:rsidP="00385308">
      <w:pPr>
        <w:spacing w:after="0" w:line="480" w:lineRule="auto"/>
        <w:jc w:val="center"/>
        <w:rPr>
          <w:rFonts w:ascii="Times New Roman" w:hAnsi="Times New Roman" w:cs="Times New Roman"/>
          <w:b/>
          <w:bCs/>
          <w:iCs/>
          <w:sz w:val="24"/>
          <w:szCs w:val="24"/>
          <w:lang w:val="tr-TR"/>
        </w:rPr>
      </w:pPr>
    </w:p>
    <w:p w:rsidR="00385308" w:rsidRPr="003B740B" w:rsidRDefault="00385308" w:rsidP="00385308">
      <w:pPr>
        <w:bidi/>
        <w:spacing w:after="0" w:line="480" w:lineRule="auto"/>
        <w:jc w:val="center"/>
        <w:rPr>
          <w:rFonts w:ascii="Times New Roman" w:hAnsi="Times New Roman" w:cs="Times New Roman"/>
          <w:iCs/>
          <w:sz w:val="24"/>
          <w:szCs w:val="24"/>
          <w:lang w:val="tr-TR" w:bidi="fa-IR"/>
        </w:rPr>
      </w:pPr>
      <w:r w:rsidRPr="003B740B">
        <w:rPr>
          <w:rFonts w:ascii="Times New Roman" w:hAnsi="Times New Roman" w:cs="Times New Roman" w:hint="cs"/>
          <w:iCs/>
          <w:sz w:val="24"/>
          <w:szCs w:val="24"/>
          <w:rtl/>
          <w:lang w:val="tr-TR" w:bidi="fa-IR"/>
        </w:rPr>
        <w:t>أ</w:t>
      </w:r>
      <w:r w:rsidRPr="003B740B">
        <w:rPr>
          <w:rFonts w:ascii="Times New Roman" w:hAnsi="Times New Roman" w:cs="Times New Roman"/>
          <w:iCs/>
          <w:sz w:val="24"/>
          <w:szCs w:val="24"/>
          <w:rtl/>
          <w:lang w:val="tr-TR" w:bidi="fa-IR"/>
        </w:rPr>
        <w:t>صول الفقه ا</w:t>
      </w:r>
      <w:r w:rsidRPr="003B740B">
        <w:rPr>
          <w:rFonts w:ascii="Times New Roman" w:hAnsi="Times New Roman" w:cs="Times New Roman" w:hint="cs"/>
          <w:iCs/>
          <w:sz w:val="24"/>
          <w:szCs w:val="24"/>
          <w:rtl/>
          <w:lang w:val="tr-TR" w:bidi="fa-IR"/>
        </w:rPr>
        <w:t>لإ</w:t>
      </w:r>
      <w:r w:rsidRPr="003B740B">
        <w:rPr>
          <w:rFonts w:ascii="Times New Roman" w:hAnsi="Times New Roman" w:cs="Times New Roman"/>
          <w:iCs/>
          <w:sz w:val="24"/>
          <w:szCs w:val="24"/>
          <w:rtl/>
          <w:lang w:val="tr-TR" w:bidi="fa-IR"/>
        </w:rPr>
        <w:t>سلام</w:t>
      </w:r>
      <w:r w:rsidRPr="003B740B">
        <w:rPr>
          <w:rFonts w:ascii="Times New Roman" w:hAnsi="Times New Roman" w:cs="Times New Roman" w:hint="cs"/>
          <w:iCs/>
          <w:sz w:val="24"/>
          <w:szCs w:val="24"/>
          <w:rtl/>
          <w:lang w:val="tr-TR" w:bidi="fa-IR"/>
        </w:rPr>
        <w:t>ي</w:t>
      </w:r>
    </w:p>
    <w:p w:rsidR="00385308" w:rsidRPr="002000CD" w:rsidRDefault="00385308" w:rsidP="00385308">
      <w:pPr>
        <w:spacing w:after="0" w:line="480" w:lineRule="auto"/>
        <w:jc w:val="center"/>
        <w:rPr>
          <w:rFonts w:ascii="Times New Roman" w:hAnsi="Times New Roman" w:cs="Times New Roman"/>
          <w:b/>
          <w:bCs/>
          <w:iCs/>
          <w:sz w:val="24"/>
          <w:szCs w:val="24"/>
          <w:lang w:val="tr-TR"/>
        </w:rPr>
      </w:pPr>
    </w:p>
    <w:p w:rsidR="00385308" w:rsidRPr="002000CD" w:rsidRDefault="00385308" w:rsidP="00385308">
      <w:pPr>
        <w:spacing w:after="0" w:line="480" w:lineRule="auto"/>
        <w:jc w:val="both"/>
        <w:rPr>
          <w:rFonts w:ascii="Times New Roman" w:hAnsi="Times New Roman" w:cs="Times New Roman"/>
          <w:bCs/>
          <w:iCs/>
          <w:sz w:val="24"/>
          <w:szCs w:val="24"/>
          <w:lang w:val="tr-TR"/>
        </w:rPr>
      </w:pPr>
      <w:r w:rsidRPr="002000CD">
        <w:rPr>
          <w:rFonts w:ascii="Times New Roman" w:hAnsi="Times New Roman" w:cs="Times New Roman"/>
          <w:bCs/>
          <w:iCs/>
          <w:sz w:val="24"/>
          <w:szCs w:val="24"/>
          <w:lang w:val="tr-TR"/>
        </w:rPr>
        <w:t xml:space="preserve">İslam hukukunun kaynaklarını ve bunun gelişiminin metodolojisini incelemeyi amaçlayan bir şeriat disiplini olarak </w:t>
      </w:r>
      <w:r w:rsidRPr="002000CD">
        <w:rPr>
          <w:rFonts w:ascii="Times New Roman" w:hAnsi="Times New Roman" w:cs="Times New Roman"/>
          <w:bCs/>
          <w:i/>
          <w:iCs/>
          <w:sz w:val="24"/>
          <w:szCs w:val="24"/>
          <w:lang w:val="tr-TR"/>
        </w:rPr>
        <w:t>fıkıh usulü</w:t>
      </w:r>
      <w:r w:rsidRPr="002000CD">
        <w:rPr>
          <w:rFonts w:ascii="Times New Roman" w:hAnsi="Times New Roman" w:cs="Times New Roman"/>
          <w:bCs/>
          <w:iCs/>
          <w:sz w:val="24"/>
          <w:szCs w:val="24"/>
          <w:lang w:val="tr-TR"/>
        </w:rPr>
        <w:t xml:space="preserve">, hukuk eğitimi veren İslami eğitim kurumlarının müfredatında her zaman seçkin bir yer işgal etmiştir. Wahbah Zuhayli’nin amacı </w:t>
      </w:r>
      <w:r w:rsidRPr="002000CD">
        <w:rPr>
          <w:rFonts w:ascii="Times New Roman" w:hAnsi="Times New Roman" w:cs="Times New Roman"/>
          <w:bCs/>
          <w:i/>
          <w:iCs/>
          <w:sz w:val="24"/>
          <w:szCs w:val="24"/>
          <w:lang w:val="tr-TR"/>
        </w:rPr>
        <w:t>fıkıh usulü</w:t>
      </w:r>
      <w:r w:rsidRPr="002000CD">
        <w:rPr>
          <w:rFonts w:ascii="Times New Roman" w:hAnsi="Times New Roman" w:cs="Times New Roman"/>
          <w:bCs/>
          <w:iCs/>
          <w:sz w:val="24"/>
          <w:szCs w:val="24"/>
          <w:lang w:val="tr-TR"/>
        </w:rPr>
        <w:t xml:space="preserve"> hakkında bu alandaki klasik ve modern çalışmaları bir araya getiren kapsamlı bir ders kitabı oluşturmaktır. Onun çalışması bu konuda orta ve ileri düzeyde yeterlik kazanmak için çalışan öğrencilere bir referans olmayı hedeflemiştir. </w:t>
      </w:r>
    </w:p>
    <w:p w:rsidR="00385308" w:rsidRDefault="00385308" w:rsidP="00385308">
      <w:pPr>
        <w:spacing w:after="0" w:line="480" w:lineRule="auto"/>
        <w:jc w:val="both"/>
        <w:rPr>
          <w:rFonts w:ascii="Times New Roman" w:hAnsi="Times New Roman" w:cs="Times New Roman"/>
          <w:bCs/>
          <w:iCs/>
          <w:sz w:val="24"/>
          <w:szCs w:val="24"/>
          <w:lang w:val="tr-TR"/>
        </w:rPr>
      </w:pPr>
    </w:p>
    <w:p w:rsidR="00385308" w:rsidRDefault="00385308" w:rsidP="00385308">
      <w:pPr>
        <w:spacing w:after="0" w:line="480" w:lineRule="auto"/>
        <w:jc w:val="both"/>
        <w:rPr>
          <w:rFonts w:ascii="Times New Roman" w:hAnsi="Times New Roman" w:cs="Times New Roman"/>
          <w:bCs/>
          <w:iCs/>
          <w:sz w:val="24"/>
          <w:szCs w:val="24"/>
          <w:lang w:val="tr-TR"/>
        </w:rPr>
      </w:pPr>
      <w:r w:rsidRPr="002000CD">
        <w:rPr>
          <w:rFonts w:ascii="Times New Roman" w:hAnsi="Times New Roman" w:cs="Times New Roman"/>
          <w:bCs/>
          <w:iCs/>
          <w:sz w:val="24"/>
          <w:szCs w:val="24"/>
          <w:lang w:val="tr-TR"/>
        </w:rPr>
        <w:t xml:space="preserve">Kitap </w:t>
      </w:r>
      <w:r w:rsidRPr="002000CD">
        <w:rPr>
          <w:rFonts w:ascii="Times New Roman" w:hAnsi="Times New Roman" w:cs="Times New Roman"/>
          <w:bCs/>
          <w:i/>
          <w:iCs/>
          <w:sz w:val="24"/>
          <w:szCs w:val="24"/>
          <w:lang w:val="tr-TR"/>
        </w:rPr>
        <w:t>fıkıh usulü</w:t>
      </w:r>
      <w:r w:rsidRPr="002000CD">
        <w:rPr>
          <w:rFonts w:ascii="Times New Roman" w:hAnsi="Times New Roman" w:cs="Times New Roman"/>
          <w:bCs/>
          <w:iCs/>
          <w:sz w:val="24"/>
          <w:szCs w:val="24"/>
          <w:lang w:val="tr-TR"/>
        </w:rPr>
        <w:t>nün çeşitli konularını ele almaktadır. Zuhayli</w:t>
      </w:r>
      <w:r w:rsidRPr="002000CD">
        <w:rPr>
          <w:rFonts w:ascii="Times New Roman" w:hAnsi="Times New Roman" w:cs="Times New Roman"/>
          <w:bCs/>
          <w:i/>
          <w:iCs/>
          <w:sz w:val="24"/>
          <w:szCs w:val="24"/>
          <w:lang w:val="tr-TR"/>
        </w:rPr>
        <w:t xml:space="preserve"> fıkıh usulü</w:t>
      </w:r>
      <w:r w:rsidRPr="002000CD">
        <w:rPr>
          <w:rFonts w:ascii="Times New Roman" w:hAnsi="Times New Roman" w:cs="Times New Roman"/>
          <w:bCs/>
          <w:iCs/>
          <w:sz w:val="24"/>
          <w:szCs w:val="24"/>
          <w:lang w:val="tr-TR"/>
        </w:rPr>
        <w:t>nün tanımını, kapsamını ve onun hakkındaki çalışmaların amacını tartıştıktan sonra; şeriat kanunları (</w:t>
      </w:r>
      <w:r w:rsidRPr="002000CD">
        <w:rPr>
          <w:rFonts w:ascii="Times New Roman" w:hAnsi="Times New Roman" w:cs="Times New Roman"/>
          <w:bCs/>
          <w:i/>
          <w:iCs/>
          <w:sz w:val="24"/>
          <w:szCs w:val="24"/>
          <w:lang w:val="tr-TR"/>
        </w:rPr>
        <w:t>al-ahkam al-shar‘iyya</w:t>
      </w:r>
      <w:r w:rsidRPr="002000CD">
        <w:rPr>
          <w:rFonts w:ascii="Times New Roman" w:hAnsi="Times New Roman" w:cs="Times New Roman"/>
          <w:bCs/>
          <w:iCs/>
          <w:sz w:val="24"/>
          <w:szCs w:val="24"/>
          <w:lang w:val="tr-TR"/>
        </w:rPr>
        <w:t>), hüküm oluşturmanın kuralları (</w:t>
      </w:r>
      <w:r w:rsidRPr="002000CD">
        <w:rPr>
          <w:rFonts w:ascii="Times New Roman" w:hAnsi="Times New Roman" w:cs="Times New Roman"/>
          <w:bCs/>
          <w:i/>
          <w:iCs/>
          <w:sz w:val="24"/>
          <w:szCs w:val="24"/>
          <w:lang w:val="tr-TR"/>
        </w:rPr>
        <w:t>dalalat istinbat al-ahkam</w:t>
      </w:r>
      <w:r w:rsidRPr="002000CD">
        <w:rPr>
          <w:rFonts w:ascii="Times New Roman" w:hAnsi="Times New Roman" w:cs="Times New Roman"/>
          <w:bCs/>
          <w:iCs/>
          <w:sz w:val="24"/>
          <w:szCs w:val="24"/>
          <w:lang w:val="tr-TR"/>
        </w:rPr>
        <w:t>), üzerinde ittifak edilen ve ihtilafa düşülen hükümlerin kaynakları (</w:t>
      </w:r>
      <w:r w:rsidRPr="002000CD">
        <w:rPr>
          <w:rFonts w:ascii="Times New Roman" w:hAnsi="Times New Roman" w:cs="Times New Roman"/>
          <w:bCs/>
          <w:i/>
          <w:iCs/>
          <w:sz w:val="24"/>
          <w:szCs w:val="24"/>
          <w:lang w:val="tr-TR"/>
        </w:rPr>
        <w:t>masadir al-ahkam al-muttafaq wa al-mukhtalaf alayh</w:t>
      </w:r>
      <w:r w:rsidRPr="002000CD">
        <w:rPr>
          <w:rFonts w:ascii="Times New Roman" w:hAnsi="Times New Roman" w:cs="Times New Roman"/>
          <w:bCs/>
          <w:iCs/>
          <w:sz w:val="24"/>
          <w:szCs w:val="24"/>
          <w:lang w:val="tr-TR"/>
        </w:rPr>
        <w:t>), içtihat, taklit ve delillerin çatışması (</w:t>
      </w:r>
      <w:r w:rsidRPr="002000CD">
        <w:rPr>
          <w:rFonts w:ascii="Times New Roman" w:hAnsi="Times New Roman" w:cs="Times New Roman"/>
          <w:bCs/>
          <w:i/>
          <w:iCs/>
          <w:sz w:val="24"/>
          <w:szCs w:val="24"/>
          <w:lang w:val="tr-TR"/>
        </w:rPr>
        <w:t>ta‘arud al-adillah</w:t>
      </w:r>
      <w:r w:rsidRPr="002000CD">
        <w:rPr>
          <w:rFonts w:ascii="Times New Roman" w:hAnsi="Times New Roman" w:cs="Times New Roman"/>
          <w:bCs/>
          <w:iCs/>
          <w:sz w:val="24"/>
          <w:szCs w:val="24"/>
          <w:lang w:val="tr-TR"/>
        </w:rPr>
        <w:t xml:space="preserve">) gibi bilinen konuların tartışmasına sekiz bölüm ayırmaktadır. Zuhayli kendi tartışmasını Kuran, hadis ve otoritelerin çok iyi bilinen klasik ve çağdaş eserlerine sık sık yaptığı atıflarla </w:t>
      </w:r>
      <w:r w:rsidRPr="002000CD">
        <w:rPr>
          <w:rFonts w:ascii="Times New Roman" w:hAnsi="Times New Roman" w:cs="Times New Roman"/>
          <w:bCs/>
          <w:iCs/>
          <w:sz w:val="24"/>
          <w:szCs w:val="24"/>
          <w:lang w:val="tr-TR"/>
        </w:rPr>
        <w:lastRenderedPageBreak/>
        <w:t>örneklendirmektedir. Kaynakça kısmında; fıkıh usulü alanındaki kimi gayet kısa, kimi ise oldukça ayrıntılı ve gelişmiş olan seçme eserler yer almaktadır.</w:t>
      </w:r>
    </w:p>
    <w:p w:rsidR="00385308" w:rsidRPr="002000CD" w:rsidRDefault="00385308" w:rsidP="00385308">
      <w:pPr>
        <w:spacing w:after="0" w:line="480" w:lineRule="auto"/>
        <w:jc w:val="both"/>
        <w:rPr>
          <w:rFonts w:ascii="Times New Roman" w:hAnsi="Times New Roman" w:cs="Times New Roman"/>
          <w:bCs/>
          <w:iCs/>
          <w:sz w:val="24"/>
          <w:szCs w:val="24"/>
          <w:lang w:val="tr-TR"/>
        </w:rPr>
      </w:pPr>
    </w:p>
    <w:p w:rsidR="00385308" w:rsidRPr="002000CD" w:rsidRDefault="00385308" w:rsidP="00385308">
      <w:pPr>
        <w:spacing w:after="0" w:line="480" w:lineRule="auto"/>
        <w:jc w:val="both"/>
        <w:rPr>
          <w:rFonts w:ascii="Times New Roman" w:hAnsi="Times New Roman" w:cs="Times New Roman"/>
          <w:bCs/>
          <w:iCs/>
          <w:sz w:val="24"/>
          <w:szCs w:val="24"/>
          <w:lang w:val="tr-TR"/>
        </w:rPr>
      </w:pPr>
      <w:r w:rsidRPr="002000CD">
        <w:rPr>
          <w:rFonts w:ascii="Times New Roman" w:hAnsi="Times New Roman" w:cs="Times New Roman"/>
          <w:bCs/>
          <w:iCs/>
          <w:sz w:val="24"/>
          <w:szCs w:val="24"/>
          <w:lang w:val="tr-TR"/>
        </w:rPr>
        <w:t xml:space="preserve">Zuhayli eserini bütünleştirilmiş ve basitleştirilmiş bir şekilde takdim etmekte ve kitabı modern İslam hukuku öğrencilerinin anlayabileceği bir forma sokmaktadır. Bu konu hakkında yazılmış ve çoğu zaman ayrıntılı olan eski kitaplarla kıyaslandığında Zuhayli’nin iki ciltlik kitabı gayet kısadır. Bununla birlikte, kitap, kendisinden önce yazılan kitapların yaptığı gibi </w:t>
      </w:r>
      <w:r w:rsidRPr="002000CD">
        <w:rPr>
          <w:rFonts w:ascii="Times New Roman" w:hAnsi="Times New Roman" w:cs="Times New Roman"/>
          <w:bCs/>
          <w:i/>
          <w:iCs/>
          <w:sz w:val="24"/>
          <w:szCs w:val="24"/>
          <w:lang w:val="tr-TR"/>
        </w:rPr>
        <w:t>fıkıh usulü</w:t>
      </w:r>
      <w:r w:rsidRPr="002000CD">
        <w:rPr>
          <w:rFonts w:ascii="Times New Roman" w:hAnsi="Times New Roman" w:cs="Times New Roman"/>
          <w:bCs/>
          <w:iCs/>
          <w:sz w:val="24"/>
          <w:szCs w:val="24"/>
          <w:lang w:val="tr-TR"/>
        </w:rPr>
        <w:t xml:space="preserve">nün hukuki yönlerine yoğunlaşmakta ve tarihsel gelişimini dışarıda bırakmaktadır. Kitap, </w:t>
      </w:r>
      <w:r w:rsidRPr="002000CD">
        <w:rPr>
          <w:rFonts w:ascii="Times New Roman" w:hAnsi="Times New Roman" w:cs="Times New Roman"/>
          <w:bCs/>
          <w:i/>
          <w:iCs/>
          <w:sz w:val="24"/>
          <w:szCs w:val="24"/>
          <w:lang w:val="tr-TR"/>
        </w:rPr>
        <w:t>fıkıh usulü</w:t>
      </w:r>
      <w:r w:rsidRPr="002000CD">
        <w:rPr>
          <w:rFonts w:ascii="Times New Roman" w:hAnsi="Times New Roman" w:cs="Times New Roman"/>
          <w:bCs/>
          <w:iCs/>
          <w:sz w:val="24"/>
          <w:szCs w:val="24"/>
          <w:lang w:val="tr-TR"/>
        </w:rPr>
        <w:t xml:space="preserve"> hakkındaki modern bir çalışmadan bekleneceği üzere, eski otoritelerin sürekliliğini korumakta ve Mutezile, Şia ve Eş’ariyye gibi gerek hukuki gerekse teolojik çeşitli düşünce okullarının (</w:t>
      </w:r>
      <w:r w:rsidRPr="002000CD">
        <w:rPr>
          <w:rFonts w:ascii="Times New Roman" w:hAnsi="Times New Roman" w:cs="Times New Roman"/>
          <w:bCs/>
          <w:i/>
          <w:iCs/>
          <w:sz w:val="24"/>
          <w:szCs w:val="24"/>
          <w:lang w:val="tr-TR"/>
        </w:rPr>
        <w:t>mezhepler</w:t>
      </w:r>
      <w:r w:rsidRPr="002000CD">
        <w:rPr>
          <w:rFonts w:ascii="Times New Roman" w:hAnsi="Times New Roman" w:cs="Times New Roman"/>
          <w:bCs/>
          <w:iCs/>
          <w:sz w:val="24"/>
          <w:szCs w:val="24"/>
          <w:lang w:val="tr-TR"/>
        </w:rPr>
        <w:t xml:space="preserve">in) bakış açılarını ve doktrinlerini daha tarafsız bir şekilde sunmaktadır. </w:t>
      </w:r>
    </w:p>
    <w:p w:rsidR="00385308" w:rsidRDefault="00385308" w:rsidP="00385308">
      <w:pPr>
        <w:spacing w:after="0" w:line="480" w:lineRule="auto"/>
        <w:jc w:val="both"/>
        <w:rPr>
          <w:rFonts w:ascii="Times New Roman" w:hAnsi="Times New Roman" w:cs="Times New Roman"/>
          <w:bCs/>
          <w:i/>
          <w:iCs/>
          <w:sz w:val="24"/>
          <w:szCs w:val="24"/>
          <w:lang w:val="tr-TR"/>
        </w:rPr>
      </w:pPr>
    </w:p>
    <w:p w:rsidR="00385308" w:rsidRPr="002000CD" w:rsidRDefault="00385308" w:rsidP="00385308">
      <w:pPr>
        <w:spacing w:after="0" w:line="480" w:lineRule="auto"/>
        <w:jc w:val="both"/>
        <w:rPr>
          <w:rFonts w:ascii="Times New Roman" w:hAnsi="Times New Roman" w:cs="Times New Roman"/>
          <w:bCs/>
          <w:sz w:val="24"/>
          <w:szCs w:val="24"/>
          <w:lang w:val="tr-TR"/>
        </w:rPr>
      </w:pPr>
      <w:r w:rsidRPr="002000CD">
        <w:rPr>
          <w:rFonts w:ascii="Times New Roman" w:hAnsi="Times New Roman" w:cs="Times New Roman"/>
          <w:bCs/>
          <w:i/>
          <w:iCs/>
          <w:sz w:val="24"/>
          <w:szCs w:val="24"/>
          <w:lang w:val="tr-TR"/>
        </w:rPr>
        <w:t>Mezhep</w:t>
      </w:r>
      <w:r w:rsidRPr="002000CD">
        <w:rPr>
          <w:rFonts w:ascii="Times New Roman" w:hAnsi="Times New Roman" w:cs="Times New Roman"/>
          <w:bCs/>
          <w:iCs/>
          <w:sz w:val="24"/>
          <w:szCs w:val="24"/>
          <w:lang w:val="tr-TR"/>
        </w:rPr>
        <w:t xml:space="preserve">lerin fikirler ve doktrinlerle ilgili teorik yorumları okuyucunun konu ile ilgili kavrayışını zenginleştirmek için takdim edilmektedir. Kitapta kimi zaman bazı tercih örnekleri ile karşılaşılsa da (yani, belirli bir görüşe daha fazla ağırlık verildiği görülse de), bütün olarak bakıldığında Zuhayli çeşitli mezheplerin bakış açılarını ve doktrinlerini İslam hukuku ve fıkha sağladıkları katkıların altını çizmek amacıyla onların başarılarına göre yargılamaktadır. Sonuç olarak, eski fıkıh usulü kitaplarında görülebilen belirli bir mezhebe güçlü bir şekilde yönlendirme olgusu Zuhayli’nin eserinin bir özelliği değildir. </w:t>
      </w:r>
      <w:r w:rsidRPr="002000CD">
        <w:rPr>
          <w:rFonts w:ascii="Times New Roman" w:hAnsi="Times New Roman" w:cs="Times New Roman"/>
          <w:bCs/>
          <w:i/>
          <w:iCs/>
          <w:sz w:val="24"/>
          <w:szCs w:val="24"/>
          <w:lang w:val="tr-TR"/>
        </w:rPr>
        <w:t>Fıkıh usulü</w:t>
      </w:r>
      <w:r w:rsidRPr="002000CD">
        <w:rPr>
          <w:rFonts w:ascii="Times New Roman" w:hAnsi="Times New Roman" w:cs="Times New Roman"/>
          <w:bCs/>
          <w:sz w:val="24"/>
          <w:szCs w:val="24"/>
          <w:lang w:val="tr-TR"/>
        </w:rPr>
        <w:t xml:space="preserve"> adlı bu kitap </w:t>
      </w:r>
      <w:r w:rsidRPr="002000CD">
        <w:rPr>
          <w:rFonts w:ascii="Times New Roman" w:hAnsi="Times New Roman" w:cs="Times New Roman"/>
          <w:bCs/>
          <w:i/>
          <w:sz w:val="24"/>
          <w:szCs w:val="24"/>
          <w:lang w:val="tr-TR"/>
        </w:rPr>
        <w:t>fıkıh usulü</w:t>
      </w:r>
      <w:r w:rsidRPr="002000CD">
        <w:rPr>
          <w:rFonts w:ascii="Times New Roman" w:hAnsi="Times New Roman" w:cs="Times New Roman"/>
          <w:bCs/>
          <w:sz w:val="24"/>
          <w:szCs w:val="24"/>
          <w:lang w:val="tr-TR"/>
        </w:rPr>
        <w:t>nü öğrenmek ve öğretmek isteyen kişiler tarafından takdirle karşılanacaktır.</w:t>
      </w:r>
    </w:p>
    <w:p w:rsidR="00385308" w:rsidRPr="002000CD" w:rsidRDefault="00385308" w:rsidP="00385308">
      <w:pPr>
        <w:spacing w:after="0" w:line="480" w:lineRule="auto"/>
        <w:rPr>
          <w:rFonts w:ascii="Times New Roman" w:hAnsi="Times New Roman" w:cs="Times New Roman"/>
          <w:bCs/>
          <w:sz w:val="24"/>
          <w:szCs w:val="24"/>
          <w:lang w:val="tr-TR"/>
        </w:rPr>
      </w:pPr>
    </w:p>
    <w:p w:rsidR="00385308" w:rsidRPr="002000CD" w:rsidRDefault="00385308" w:rsidP="00385308">
      <w:pPr>
        <w:spacing w:after="0" w:line="480" w:lineRule="auto"/>
        <w:jc w:val="right"/>
        <w:rPr>
          <w:rFonts w:ascii="Times New Roman" w:hAnsi="Times New Roman" w:cs="Times New Roman"/>
          <w:bCs/>
          <w:sz w:val="24"/>
          <w:szCs w:val="24"/>
          <w:lang w:val="en-US"/>
        </w:rPr>
      </w:pPr>
      <w:proofErr w:type="spellStart"/>
      <w:r w:rsidRPr="002000CD">
        <w:rPr>
          <w:rFonts w:ascii="Times New Roman" w:hAnsi="Times New Roman" w:cs="Times New Roman"/>
          <w:bCs/>
          <w:sz w:val="24"/>
          <w:szCs w:val="24"/>
          <w:lang w:val="en-US"/>
        </w:rPr>
        <w:t>Raden</w:t>
      </w:r>
      <w:proofErr w:type="spellEnd"/>
      <w:r w:rsidRPr="002000CD">
        <w:rPr>
          <w:rFonts w:ascii="Times New Roman" w:hAnsi="Times New Roman" w:cs="Times New Roman"/>
          <w:bCs/>
          <w:sz w:val="24"/>
          <w:szCs w:val="24"/>
          <w:lang w:val="en-US"/>
        </w:rPr>
        <w:t xml:space="preserve"> </w:t>
      </w:r>
      <w:proofErr w:type="spellStart"/>
      <w:r w:rsidRPr="002000CD">
        <w:rPr>
          <w:rFonts w:ascii="Times New Roman" w:hAnsi="Times New Roman" w:cs="Times New Roman"/>
          <w:bCs/>
          <w:sz w:val="24"/>
          <w:szCs w:val="24"/>
          <w:lang w:val="en-US"/>
        </w:rPr>
        <w:t>Cecep</w:t>
      </w:r>
      <w:proofErr w:type="spellEnd"/>
      <w:r w:rsidRPr="002000CD">
        <w:rPr>
          <w:rFonts w:ascii="Times New Roman" w:hAnsi="Times New Roman" w:cs="Times New Roman"/>
          <w:bCs/>
          <w:sz w:val="24"/>
          <w:szCs w:val="24"/>
          <w:lang w:val="en-US"/>
        </w:rPr>
        <w:t xml:space="preserve"> </w:t>
      </w:r>
      <w:proofErr w:type="spellStart"/>
      <w:r w:rsidRPr="002000CD">
        <w:rPr>
          <w:rFonts w:ascii="Times New Roman" w:hAnsi="Times New Roman" w:cs="Times New Roman"/>
          <w:bCs/>
          <w:sz w:val="24"/>
          <w:szCs w:val="24"/>
          <w:lang w:val="en-US"/>
        </w:rPr>
        <w:t>Lukman</w:t>
      </w:r>
      <w:proofErr w:type="spellEnd"/>
      <w:r w:rsidRPr="002000CD">
        <w:rPr>
          <w:rFonts w:ascii="Times New Roman" w:hAnsi="Times New Roman" w:cs="Times New Roman"/>
          <w:bCs/>
          <w:sz w:val="24"/>
          <w:szCs w:val="24"/>
          <w:lang w:val="en-US"/>
        </w:rPr>
        <w:t xml:space="preserve"> </w:t>
      </w:r>
      <w:proofErr w:type="spellStart"/>
      <w:r w:rsidRPr="002000CD">
        <w:rPr>
          <w:rFonts w:ascii="Times New Roman" w:hAnsi="Times New Roman" w:cs="Times New Roman"/>
          <w:bCs/>
          <w:sz w:val="24"/>
          <w:szCs w:val="24"/>
          <w:lang w:val="en-US"/>
        </w:rPr>
        <w:t>Yasin</w:t>
      </w:r>
      <w:proofErr w:type="spellEnd"/>
    </w:p>
    <w:p w:rsidR="00385308" w:rsidRDefault="00385308" w:rsidP="00385308">
      <w:pPr>
        <w:spacing w:after="0" w:line="480" w:lineRule="auto"/>
        <w:jc w:val="right"/>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Çeviren</w:t>
      </w:r>
      <w:proofErr w:type="spellEnd"/>
      <w:r w:rsidRPr="002000CD">
        <w:rPr>
          <w:rFonts w:ascii="Times New Roman" w:hAnsi="Times New Roman" w:cs="Times New Roman"/>
          <w:bCs/>
          <w:sz w:val="24"/>
          <w:szCs w:val="24"/>
          <w:lang w:val="en-US"/>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385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96"/>
    <w:rsid w:val="000071C0"/>
    <w:rsid w:val="00083E80"/>
    <w:rsid w:val="0015373B"/>
    <w:rsid w:val="00385308"/>
    <w:rsid w:val="006C6B50"/>
    <w:rsid w:val="00791238"/>
    <w:rsid w:val="00946112"/>
    <w:rsid w:val="00EA0C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1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1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Company>Microsoft</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2015-02-23T16:14:00Z</dcterms:created>
  <dcterms:modified xsi:type="dcterms:W3CDTF">2015-06-11T10:59:00Z</dcterms:modified>
</cp:coreProperties>
</file>