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16" w:rsidRPr="00DA0DE2" w:rsidRDefault="005A4416" w:rsidP="00527F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 w:bidi="ar-SY"/>
        </w:rPr>
      </w:pPr>
      <w:r w:rsidRPr="00DA0DE2">
        <w:rPr>
          <w:rFonts w:ascii="Times New Roman" w:hAnsi="Times New Roman" w:cs="Times New Roman"/>
          <w:sz w:val="24"/>
          <w:szCs w:val="24"/>
          <w:lang w:bidi="ar-SY"/>
        </w:rPr>
        <w:t xml:space="preserve">Koca, Ferhat.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SY"/>
        </w:rPr>
        <w:t>İslam Hukuk Metodolojisinde Tahsis: Daraltıcı Yorum</w:t>
      </w:r>
      <w:r w:rsidRPr="00DA0DE2">
        <w:rPr>
          <w:rFonts w:ascii="Times New Roman" w:hAnsi="Times New Roman" w:cs="Times New Roman"/>
          <w:sz w:val="24"/>
          <w:szCs w:val="24"/>
          <w:lang w:val="tr-TR" w:bidi="ar-SY"/>
        </w:rPr>
        <w:t>. İstanbul: Türkiye Diyanet Vakfı Yayınları, 1996, 417</w:t>
      </w:r>
      <w:r w:rsidR="00527FF9">
        <w:rPr>
          <w:rFonts w:ascii="Times New Roman" w:hAnsi="Times New Roman" w:cs="Times New Roman"/>
          <w:sz w:val="24"/>
          <w:szCs w:val="24"/>
          <w:lang w:val="tr-TR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tr-TR" w:bidi="ar-SY"/>
        </w:rPr>
        <w:t>.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5A4416" w:rsidRPr="0096699B" w:rsidRDefault="005A4416" w:rsidP="005A441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96699B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5A4416" w:rsidRPr="00DA0DE2" w:rsidRDefault="005A4416" w:rsidP="005A4416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5A4416" w:rsidRPr="00DA0DE2" w:rsidRDefault="005A4416" w:rsidP="005A441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التخصيص في منهجية الشريعة الإسلامية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: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تفسيرات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موجزة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5A4416" w:rsidRPr="00DA0DE2" w:rsidRDefault="005A4416" w:rsidP="005A4416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tr-TR" w:bidi="ar-SY"/>
        </w:rPr>
      </w:pPr>
    </w:p>
    <w:p w:rsidR="005A4416" w:rsidRPr="00DA0DE2" w:rsidRDefault="005A4416" w:rsidP="005A4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SY"/>
        </w:rPr>
        <w:t>İslam Hukuk Metodolojisinde Tahsis: Daraltıcı Yorum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صدر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هذا ال</w:t>
      </w:r>
      <w:r w:rsidRPr="00DA0DE2">
        <w:rPr>
          <w:rFonts w:ascii="Times New Roman" w:hAnsi="Times New Roman" w:cs="Times New Roman"/>
          <w:sz w:val="24"/>
          <w:szCs w:val="24"/>
          <w:rtl/>
        </w:rPr>
        <w:t>كتاب لمؤلفه الدكتور فرحات كوجا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</w:rPr>
        <w:t>و الذي كان في الأصل أطروحة دكتوراه، عن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إدارة الشؤون الدينية التركية عام ١٩٩٥. يتكون الكتاب من ٤١٧ صفحة في خمسة فصول و مقدمة يناقش الكاتب من خلالها مبدأ التخصيص (أي ربط نص بمعنى معين) بغية فهم الفقه الإسلامي.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27FF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تعالج المقدمة الوسائل القانونية و تطبيق القواعد، وتركز بشكل خاص على مفهوم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التفسير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،  وتناقش المذاهب الفقهية وطرق وأساليب التفسير بشيء من التفصيل.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27FF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يستعرض الفصل الأول عناصر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التخصيص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أي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الخاص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العام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و يحلل المؤلف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العام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بشكل مفصل، و يدرس طبيعته، ونطاقه، و أسلوب تعبيره، و أحكامه. 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في الفصل الثاني يدرس الكاتب تعريف التخصيص، و شروطه، و أنواعه، و حدوده. كما يتضمن هذا الفصل أيضا مقارنة التخصيص بأنواع أخرى من التصاريح كالإلغاء، و الإعفاءات، و الاشتراطات.  </w:t>
      </w:r>
    </w:p>
    <w:p w:rsidR="00527FF9" w:rsidRPr="00DA0DE2" w:rsidRDefault="00527FF9" w:rsidP="00527FF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قد خُصّص الفصل الثالث لدراسة مفصلة لدليل التخصيص، و شروطه، و أنواعه، و يناقش الكاتب ضرورة دراسة جميع هذه الأنواع من الأدلة. 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27FF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أما الفصل الأخير من الكتاب فيتضمن مقارنة التخصيص بالقانون الحديث. إذ درست آثار التخصيص من خلال استخدام تفسير صارم. كما يحلل هذا الفصل حكم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العام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و التضارب بين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العام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527FF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الخاص</w:t>
      </w:r>
      <w:r w:rsidR="00527FF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. و هناك مقارنة أيضا بين مفهوم التخصيص في الشريعة الإسلامية و القانون الحديث من حيث الطبيعة، و التأويل، و التفسير.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رغم أن الكتاب لا يطرح قضايا جديدة فهو يقدم تحليلا متعمقا لمبادئ الفقه من الناحيتين النظرية و العملية. لذلك يعتبر العمل مصدرا هاما من المصادر المختصة بالشريعة، كما أنه يصلح أيضا كمرجع علمي للقانون المقارن.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بورجو كيليج</w:t>
      </w:r>
    </w:p>
    <w:p w:rsidR="005A4416" w:rsidRPr="00DA0DE2" w:rsidRDefault="005A4416" w:rsidP="005A441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عادل لاغة</w:t>
      </w:r>
    </w:p>
    <w:sectPr w:rsidR="005A4416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5C"/>
    <w:rsid w:val="000071C0"/>
    <w:rsid w:val="00083E80"/>
    <w:rsid w:val="00164D5C"/>
    <w:rsid w:val="00527FF9"/>
    <w:rsid w:val="005A4416"/>
    <w:rsid w:val="006C6B50"/>
    <w:rsid w:val="00791238"/>
    <w:rsid w:val="0096699B"/>
    <w:rsid w:val="00A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F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2015-02-23T13:41:00Z</dcterms:created>
  <dcterms:modified xsi:type="dcterms:W3CDTF">2015-05-01T11:13:00Z</dcterms:modified>
</cp:coreProperties>
</file>