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0F" w:rsidRPr="00A2760A" w:rsidRDefault="0017506B" w:rsidP="00FD1B0F">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Nyazee</w:t>
      </w:r>
      <w:proofErr w:type="spellEnd"/>
      <w:r>
        <w:rPr>
          <w:rFonts w:ascii="Times New Roman" w:hAnsi="Times New Roman" w:cs="Times New Roman"/>
          <w:sz w:val="24"/>
          <w:szCs w:val="24"/>
        </w:rPr>
        <w:t xml:space="preserve">, Imran Ahsan Khan. </w:t>
      </w:r>
      <w:r>
        <w:rPr>
          <w:rFonts w:ascii="Times New Roman" w:hAnsi="Times New Roman" w:cs="Times New Roman"/>
          <w:i/>
          <w:iCs/>
          <w:sz w:val="24"/>
          <w:szCs w:val="24"/>
        </w:rPr>
        <w:t xml:space="preserve">Theories of Islamic Law: the Methodology of </w:t>
      </w:r>
      <w:proofErr w:type="spellStart"/>
      <w:r>
        <w:rPr>
          <w:rFonts w:ascii="Times New Roman" w:hAnsi="Times New Roman" w:cs="Times New Roman"/>
          <w:i/>
          <w:iCs/>
          <w:sz w:val="24"/>
          <w:szCs w:val="24"/>
        </w:rPr>
        <w:t>Ijtihad</w:t>
      </w:r>
      <w:proofErr w:type="spellEnd"/>
      <w:r>
        <w:rPr>
          <w:rFonts w:ascii="Times New Roman" w:hAnsi="Times New Roman" w:cs="Times New Roman"/>
          <w:sz w:val="24"/>
          <w:szCs w:val="24"/>
        </w:rPr>
        <w:t xml:space="preserve">. </w:t>
      </w:r>
      <w:r w:rsidR="00FD1B0F" w:rsidRPr="00A2760A">
        <w:rPr>
          <w:rFonts w:ascii="Times New Roman" w:hAnsi="Times New Roman" w:cs="Times New Roman"/>
          <w:sz w:val="24"/>
          <w:szCs w:val="24"/>
        </w:rPr>
        <w:t xml:space="preserve">Islamabad: International Institute of Islamic Thought and Islamic Research Institute, 1994, 344 </w:t>
      </w:r>
      <w:r w:rsidR="00FD1B0F">
        <w:rPr>
          <w:rFonts w:ascii="Times New Roman" w:hAnsi="Times New Roman" w:cs="Times New Roman"/>
          <w:sz w:val="24"/>
          <w:szCs w:val="24"/>
        </w:rPr>
        <w:t>s</w:t>
      </w:r>
      <w:r w:rsidR="00FD1B0F" w:rsidRPr="00A2760A">
        <w:rPr>
          <w:rFonts w:ascii="Times New Roman" w:hAnsi="Times New Roman" w:cs="Times New Roman"/>
          <w:sz w:val="24"/>
          <w:szCs w:val="24"/>
        </w:rPr>
        <w:t xml:space="preserve">. </w:t>
      </w:r>
    </w:p>
    <w:p w:rsidR="00FD1B0F" w:rsidRPr="00A2760A" w:rsidRDefault="00FD1B0F" w:rsidP="00FD1B0F">
      <w:pPr>
        <w:spacing w:after="0" w:line="480" w:lineRule="auto"/>
        <w:rPr>
          <w:rFonts w:ascii="Times New Roman" w:hAnsi="Times New Roman" w:cs="Times New Roman"/>
          <w:sz w:val="24"/>
          <w:szCs w:val="24"/>
        </w:rPr>
      </w:pPr>
    </w:p>
    <w:p w:rsidR="00FD1B0F" w:rsidRPr="00A2760A" w:rsidRDefault="00FD1B0F" w:rsidP="00FD1B0F">
      <w:pPr>
        <w:spacing w:after="0" w:line="480" w:lineRule="auto"/>
        <w:jc w:val="center"/>
        <w:rPr>
          <w:rFonts w:ascii="Times New Roman" w:hAnsi="Times New Roman" w:cs="Times New Roman"/>
          <w:b/>
          <w:bCs/>
          <w:sz w:val="24"/>
          <w:szCs w:val="24"/>
          <w:lang w:val="tr-TR"/>
        </w:rPr>
      </w:pPr>
      <w:r w:rsidRPr="00A2760A">
        <w:rPr>
          <w:rFonts w:ascii="Times New Roman" w:hAnsi="Times New Roman" w:cs="Times New Roman"/>
          <w:b/>
          <w:bCs/>
          <w:sz w:val="24"/>
          <w:szCs w:val="24"/>
          <w:lang w:val="tr-TR"/>
        </w:rPr>
        <w:t>ÖZET</w:t>
      </w:r>
    </w:p>
    <w:p w:rsidR="00FD1B0F" w:rsidRPr="00A2760A" w:rsidRDefault="00FD1B0F" w:rsidP="00FD1B0F">
      <w:pPr>
        <w:spacing w:after="0" w:line="480" w:lineRule="auto"/>
        <w:jc w:val="center"/>
        <w:rPr>
          <w:rFonts w:ascii="Times New Roman" w:hAnsi="Times New Roman" w:cs="Times New Roman"/>
          <w:b/>
          <w:bCs/>
          <w:sz w:val="24"/>
          <w:szCs w:val="24"/>
          <w:lang w:val="tr-TR"/>
        </w:rPr>
      </w:pPr>
    </w:p>
    <w:p w:rsidR="00FD1B0F" w:rsidRPr="00A2760A" w:rsidRDefault="00FD1B0F" w:rsidP="00FD1B0F">
      <w:pPr>
        <w:spacing w:after="0" w:line="480" w:lineRule="auto"/>
        <w:jc w:val="center"/>
        <w:rPr>
          <w:rFonts w:ascii="Times New Roman" w:hAnsi="Times New Roman" w:cs="Times New Roman"/>
          <w:b/>
          <w:bCs/>
          <w:sz w:val="24"/>
          <w:szCs w:val="24"/>
          <w:lang w:val="tr-TR"/>
        </w:rPr>
      </w:pPr>
      <w:r w:rsidRPr="00A2760A">
        <w:rPr>
          <w:rFonts w:ascii="Times New Roman" w:hAnsi="Times New Roman" w:cs="Times New Roman"/>
          <w:b/>
          <w:iCs/>
          <w:sz w:val="24"/>
          <w:szCs w:val="24"/>
          <w:lang w:val="tr-TR"/>
        </w:rPr>
        <w:t>İslam Hukuku Teorileri: İçtihat Metodolojisi</w:t>
      </w:r>
    </w:p>
    <w:p w:rsidR="00FD1B0F" w:rsidRPr="00A2760A" w:rsidRDefault="00FD1B0F" w:rsidP="00FD1B0F">
      <w:pPr>
        <w:spacing w:after="0" w:line="480" w:lineRule="auto"/>
        <w:jc w:val="center"/>
        <w:rPr>
          <w:rFonts w:ascii="Times New Roman" w:hAnsi="Times New Roman" w:cs="Times New Roman"/>
          <w:sz w:val="24"/>
          <w:szCs w:val="24"/>
          <w:lang w:val="tr-TR"/>
        </w:rPr>
      </w:pPr>
    </w:p>
    <w:p w:rsidR="00FD1B0F" w:rsidRPr="00A2760A" w:rsidRDefault="00FD1B0F" w:rsidP="00FD1B0F">
      <w:pPr>
        <w:spacing w:after="0" w:line="480" w:lineRule="auto"/>
        <w:jc w:val="center"/>
        <w:rPr>
          <w:rFonts w:ascii="Times New Roman" w:hAnsi="Times New Roman" w:cs="Times New Roman"/>
          <w:sz w:val="24"/>
          <w:szCs w:val="24"/>
          <w:lang w:val="tr-TR"/>
        </w:rPr>
      </w:pPr>
      <w:r w:rsidRPr="00A2760A">
        <w:rPr>
          <w:rFonts w:ascii="Times New Roman" w:hAnsi="Times New Roman" w:cs="Times New Roman"/>
          <w:i/>
          <w:iCs/>
          <w:sz w:val="24"/>
          <w:szCs w:val="24"/>
        </w:rPr>
        <w:t xml:space="preserve">Theories of Islamic Law: the Methodology of </w:t>
      </w:r>
      <w:proofErr w:type="spellStart"/>
      <w:r w:rsidRPr="00A2760A">
        <w:rPr>
          <w:rFonts w:ascii="Times New Roman" w:hAnsi="Times New Roman" w:cs="Times New Roman"/>
          <w:i/>
          <w:iCs/>
          <w:sz w:val="24"/>
          <w:szCs w:val="24"/>
        </w:rPr>
        <w:t>Ijtihad</w:t>
      </w:r>
      <w:proofErr w:type="spellEnd"/>
    </w:p>
    <w:p w:rsidR="00FD1B0F" w:rsidRDefault="00FD1B0F" w:rsidP="00FD1B0F">
      <w:pPr>
        <w:spacing w:after="0" w:line="480" w:lineRule="auto"/>
        <w:jc w:val="center"/>
        <w:rPr>
          <w:rFonts w:ascii="Times New Roman" w:hAnsi="Times New Roman" w:cs="Times New Roman"/>
          <w:sz w:val="24"/>
          <w:szCs w:val="24"/>
          <w:lang w:val="tr-TR"/>
        </w:rPr>
      </w:pPr>
    </w:p>
    <w:p w:rsidR="00FD1B0F" w:rsidRPr="00A2760A" w:rsidRDefault="00FD1B0F" w:rsidP="00FD1B0F">
      <w:pPr>
        <w:spacing w:after="0" w:line="480" w:lineRule="auto"/>
        <w:jc w:val="both"/>
        <w:rPr>
          <w:rFonts w:ascii="Times New Roman" w:hAnsi="Times New Roman" w:cs="Times New Roman"/>
          <w:iCs/>
          <w:sz w:val="24"/>
          <w:szCs w:val="24"/>
          <w:lang w:val="tr-TR"/>
        </w:rPr>
      </w:pPr>
      <w:r w:rsidRPr="00A2760A">
        <w:rPr>
          <w:rFonts w:ascii="Times New Roman" w:hAnsi="Times New Roman" w:cs="Times New Roman"/>
          <w:sz w:val="24"/>
          <w:szCs w:val="24"/>
          <w:lang w:val="tr-TR"/>
        </w:rPr>
        <w:t xml:space="preserve">Kitap üç kısma ayrılmıştır ve 16 bölümden oluşmaktadır. İlk bölüm </w:t>
      </w:r>
      <w:r w:rsidRPr="00A2760A">
        <w:rPr>
          <w:rFonts w:ascii="Times New Roman" w:hAnsi="Times New Roman" w:cs="Times New Roman"/>
          <w:iCs/>
          <w:sz w:val="24"/>
          <w:szCs w:val="24"/>
          <w:lang w:val="tr-TR"/>
        </w:rPr>
        <w:t xml:space="preserve">İslam hukuku kavramını açıklar, ikinci bölüm İslam hukukunun kökenleri ve gelişimini ele alır. Üçüncü bölüm metodoloji konusuna ayrılmıştır; bu bölümde </w:t>
      </w:r>
      <w:r w:rsidRPr="00A2760A">
        <w:rPr>
          <w:rFonts w:ascii="Times New Roman" w:hAnsi="Times New Roman" w:cs="Times New Roman"/>
          <w:i/>
          <w:iCs/>
          <w:sz w:val="24"/>
          <w:szCs w:val="24"/>
          <w:lang w:val="tr-TR"/>
        </w:rPr>
        <w:t>fıkıh usulü</w:t>
      </w:r>
      <w:r w:rsidRPr="00A2760A">
        <w:rPr>
          <w:rFonts w:ascii="Times New Roman" w:hAnsi="Times New Roman" w:cs="Times New Roman"/>
          <w:iCs/>
          <w:sz w:val="24"/>
          <w:szCs w:val="24"/>
          <w:lang w:val="tr-TR"/>
        </w:rPr>
        <w:t xml:space="preserve"> </w:t>
      </w:r>
      <w:r w:rsidRPr="00A2760A">
        <w:rPr>
          <w:rFonts w:ascii="Times New Roman" w:hAnsi="Times New Roman" w:cs="Times New Roman"/>
          <w:sz w:val="24"/>
          <w:szCs w:val="24"/>
          <w:lang w:val="tr-TR"/>
        </w:rPr>
        <w:t>disiplini ile ilgili tefsir teorilerinin günümüzün yasal sistemleri tarafından hangi yollarla entegre edilip kullanılabileceği incelenir.</w:t>
      </w:r>
    </w:p>
    <w:p w:rsidR="00FD1B0F" w:rsidRPr="00A2760A" w:rsidRDefault="00FD1B0F" w:rsidP="00FD1B0F">
      <w:pPr>
        <w:spacing w:after="0" w:line="480" w:lineRule="auto"/>
        <w:jc w:val="both"/>
        <w:rPr>
          <w:rFonts w:ascii="Times New Roman" w:hAnsi="Times New Roman" w:cs="Times New Roman"/>
          <w:sz w:val="24"/>
          <w:szCs w:val="24"/>
          <w:lang w:val="tr-TR"/>
        </w:rPr>
      </w:pPr>
    </w:p>
    <w:p w:rsidR="00FD1B0F" w:rsidRPr="00A2760A" w:rsidRDefault="00FD1B0F" w:rsidP="00361581">
      <w:pPr>
        <w:spacing w:after="0" w:line="480" w:lineRule="auto"/>
        <w:jc w:val="both"/>
        <w:rPr>
          <w:rFonts w:ascii="Times New Roman" w:hAnsi="Times New Roman" w:cs="Times New Roman"/>
          <w:iCs/>
          <w:sz w:val="24"/>
          <w:szCs w:val="24"/>
          <w:lang w:val="tr-TR"/>
        </w:rPr>
      </w:pPr>
      <w:r w:rsidRPr="00A2760A">
        <w:rPr>
          <w:rFonts w:ascii="Times New Roman" w:hAnsi="Times New Roman" w:cs="Times New Roman"/>
          <w:sz w:val="24"/>
          <w:szCs w:val="24"/>
          <w:lang w:val="tr-TR"/>
        </w:rPr>
        <w:t xml:space="preserve">Kitap, </w:t>
      </w:r>
      <w:r w:rsidRPr="00A2760A">
        <w:rPr>
          <w:rFonts w:ascii="Times New Roman" w:hAnsi="Times New Roman" w:cs="Times New Roman"/>
          <w:iCs/>
          <w:sz w:val="24"/>
          <w:szCs w:val="24"/>
          <w:lang w:val="tr-TR"/>
        </w:rPr>
        <w:t xml:space="preserve">İslam hukuku ve Batılı yasal sistemler arasındaki benzerlikleri ve farklılıkları ortaya koyar. Yazar, </w:t>
      </w:r>
      <w:r w:rsidRPr="00A2760A">
        <w:rPr>
          <w:rFonts w:ascii="Times New Roman" w:hAnsi="Times New Roman" w:cs="Times New Roman"/>
          <w:i/>
          <w:iCs/>
          <w:sz w:val="24"/>
          <w:szCs w:val="24"/>
          <w:lang w:val="tr-TR"/>
        </w:rPr>
        <w:t>fıkıh usulü</w:t>
      </w:r>
      <w:r w:rsidRPr="00A2760A">
        <w:rPr>
          <w:rFonts w:ascii="Times New Roman" w:hAnsi="Times New Roman" w:cs="Times New Roman"/>
          <w:iCs/>
          <w:sz w:val="24"/>
          <w:szCs w:val="24"/>
          <w:lang w:val="tr-TR"/>
        </w:rPr>
        <w:t xml:space="preserve"> ve genel hukuk ilminin birbiriyle aynı olduğu sonucuna varır ve günümüzde Batılı hukuk felsefecilerinin karşılaştığı sorunların İslam hukuku âlimleri tarafından bin yıl önce incelendiğini anlatır. Yazar, Hanefi tefsir meto</w:t>
      </w:r>
      <w:r w:rsidR="00361581">
        <w:rPr>
          <w:rFonts w:ascii="Times New Roman" w:hAnsi="Times New Roman" w:cs="Times New Roman"/>
          <w:iCs/>
          <w:sz w:val="24"/>
          <w:szCs w:val="24"/>
          <w:lang w:val="tr-TR"/>
        </w:rPr>
        <w:t>t</w:t>
      </w:r>
      <w:r w:rsidRPr="00A2760A">
        <w:rPr>
          <w:rFonts w:ascii="Times New Roman" w:hAnsi="Times New Roman" w:cs="Times New Roman"/>
          <w:iCs/>
          <w:sz w:val="24"/>
          <w:szCs w:val="24"/>
          <w:lang w:val="tr-TR"/>
        </w:rPr>
        <w:t>larının günümüzde mahkemelerde kullanılan meto</w:t>
      </w:r>
      <w:r w:rsidR="00361581">
        <w:rPr>
          <w:rFonts w:ascii="Times New Roman" w:hAnsi="Times New Roman" w:cs="Times New Roman"/>
          <w:iCs/>
          <w:sz w:val="24"/>
          <w:szCs w:val="24"/>
          <w:lang w:val="tr-TR"/>
        </w:rPr>
        <w:t>t</w:t>
      </w:r>
      <w:r w:rsidRPr="00A2760A">
        <w:rPr>
          <w:rFonts w:ascii="Times New Roman" w:hAnsi="Times New Roman" w:cs="Times New Roman"/>
          <w:iCs/>
          <w:sz w:val="24"/>
          <w:szCs w:val="24"/>
          <w:lang w:val="tr-TR"/>
        </w:rPr>
        <w:t xml:space="preserve">lara benzediğini belirtir. </w:t>
      </w:r>
    </w:p>
    <w:p w:rsidR="00FD1B0F" w:rsidRPr="00A2760A" w:rsidRDefault="00FD1B0F" w:rsidP="00FD1B0F">
      <w:pPr>
        <w:spacing w:after="0" w:line="480" w:lineRule="auto"/>
        <w:jc w:val="both"/>
        <w:rPr>
          <w:rFonts w:ascii="Times New Roman" w:hAnsi="Times New Roman" w:cs="Times New Roman"/>
          <w:sz w:val="24"/>
          <w:szCs w:val="24"/>
          <w:lang w:val="tr-TR"/>
        </w:rPr>
      </w:pPr>
    </w:p>
    <w:p w:rsidR="00FD1B0F" w:rsidRPr="00A2760A" w:rsidRDefault="00FD1B0F" w:rsidP="00361581">
      <w:pPr>
        <w:spacing w:after="0" w:line="480" w:lineRule="auto"/>
        <w:jc w:val="both"/>
        <w:rPr>
          <w:rFonts w:ascii="Times New Roman" w:hAnsi="Times New Roman" w:cs="Times New Roman"/>
          <w:iCs/>
          <w:sz w:val="24"/>
          <w:szCs w:val="24"/>
          <w:lang w:val="tr-TR"/>
        </w:rPr>
      </w:pPr>
      <w:r w:rsidRPr="00A2760A">
        <w:rPr>
          <w:rFonts w:ascii="Times New Roman" w:hAnsi="Times New Roman" w:cs="Times New Roman"/>
          <w:sz w:val="24"/>
          <w:szCs w:val="24"/>
          <w:lang w:val="tr-TR"/>
        </w:rPr>
        <w:t>Yazar,</w:t>
      </w:r>
      <w:r w:rsidRPr="00A2760A">
        <w:rPr>
          <w:rFonts w:ascii="Times New Roman" w:hAnsi="Times New Roman" w:cs="Times New Roman"/>
          <w:iCs/>
          <w:sz w:val="24"/>
          <w:szCs w:val="24"/>
          <w:lang w:val="tr-TR"/>
        </w:rPr>
        <w:t xml:space="preserve"> İslam hukukuna dair bazı yanlış anlaşılmaları ortadan kaldırır: örneğin İslam hukukunun ortak bir teorisi olmadığını ve çok sayıda tefsir teorisi bulunduğunu belirtir. Buna ek olarak, Şeriat’ın katı olduğunu ve İslam hukukunda “teo</w:t>
      </w:r>
      <w:bookmarkStart w:id="0" w:name="_GoBack"/>
      <w:bookmarkEnd w:id="0"/>
      <w:r w:rsidRPr="00A2760A">
        <w:rPr>
          <w:rFonts w:ascii="Times New Roman" w:hAnsi="Times New Roman" w:cs="Times New Roman"/>
          <w:iCs/>
          <w:sz w:val="24"/>
          <w:szCs w:val="24"/>
          <w:lang w:val="tr-TR"/>
        </w:rPr>
        <w:t xml:space="preserve">ri ve pratik arasında bir ayrım” </w:t>
      </w:r>
      <w:r w:rsidRPr="00A2760A">
        <w:rPr>
          <w:rFonts w:ascii="Times New Roman" w:hAnsi="Times New Roman" w:cs="Times New Roman"/>
          <w:iCs/>
          <w:sz w:val="24"/>
          <w:szCs w:val="24"/>
          <w:lang w:val="tr-TR"/>
        </w:rPr>
        <w:lastRenderedPageBreak/>
        <w:t xml:space="preserve">olduğunu reddeder. Aynı zamanda, kritik öneme sahip </w:t>
      </w:r>
      <w:r w:rsidRPr="00A2760A">
        <w:rPr>
          <w:rFonts w:ascii="Times New Roman" w:hAnsi="Times New Roman" w:cs="Times New Roman"/>
          <w:i/>
          <w:iCs/>
          <w:sz w:val="24"/>
          <w:szCs w:val="24"/>
          <w:lang w:val="tr-TR"/>
        </w:rPr>
        <w:t xml:space="preserve">hiyal </w:t>
      </w:r>
      <w:r w:rsidRPr="00A2760A">
        <w:rPr>
          <w:rFonts w:ascii="Times New Roman" w:hAnsi="Times New Roman" w:cs="Times New Roman"/>
          <w:iCs/>
          <w:sz w:val="24"/>
          <w:szCs w:val="24"/>
          <w:lang w:val="tr-TR"/>
        </w:rPr>
        <w:t xml:space="preserve">konusuna değinir, </w:t>
      </w:r>
      <w:r w:rsidRPr="00A2760A">
        <w:rPr>
          <w:rFonts w:ascii="Times New Roman" w:hAnsi="Times New Roman" w:cs="Times New Roman"/>
          <w:sz w:val="24"/>
          <w:szCs w:val="24"/>
          <w:lang w:val="tr-TR"/>
        </w:rPr>
        <w:t>Schacht ve Ignaz Goldziher gibi batılı hukukçuların sundukları eleştirileri reddeder.</w:t>
      </w:r>
    </w:p>
    <w:p w:rsidR="00FD1B0F" w:rsidRPr="00A2760A" w:rsidRDefault="00FD1B0F" w:rsidP="00FD1B0F">
      <w:pPr>
        <w:spacing w:after="0" w:line="480" w:lineRule="auto"/>
        <w:jc w:val="both"/>
        <w:rPr>
          <w:rFonts w:ascii="Times New Roman" w:hAnsi="Times New Roman" w:cs="Times New Roman"/>
          <w:sz w:val="24"/>
          <w:szCs w:val="24"/>
          <w:lang w:val="tr-TR"/>
        </w:rPr>
      </w:pPr>
      <w:r w:rsidRPr="00A2760A">
        <w:rPr>
          <w:rFonts w:ascii="Times New Roman" w:hAnsi="Times New Roman" w:cs="Times New Roman"/>
          <w:sz w:val="24"/>
          <w:szCs w:val="24"/>
          <w:lang w:val="tr-TR"/>
        </w:rPr>
        <w:t xml:space="preserve"> </w:t>
      </w:r>
    </w:p>
    <w:p w:rsidR="00FD1B0F" w:rsidRPr="00A2760A" w:rsidRDefault="00FD1B0F" w:rsidP="00FD1B0F">
      <w:pPr>
        <w:spacing w:after="0" w:line="480" w:lineRule="auto"/>
        <w:jc w:val="both"/>
        <w:rPr>
          <w:rFonts w:ascii="Times New Roman" w:hAnsi="Times New Roman" w:cs="Times New Roman"/>
          <w:iCs/>
          <w:sz w:val="24"/>
          <w:szCs w:val="24"/>
          <w:lang w:val="tr-TR"/>
        </w:rPr>
      </w:pPr>
      <w:r w:rsidRPr="00A2760A">
        <w:rPr>
          <w:rFonts w:ascii="Times New Roman" w:hAnsi="Times New Roman" w:cs="Times New Roman"/>
          <w:sz w:val="24"/>
          <w:szCs w:val="24"/>
          <w:lang w:val="tr-TR"/>
        </w:rPr>
        <w:t>Yazar,</w:t>
      </w:r>
      <w:r w:rsidRPr="00A2760A">
        <w:rPr>
          <w:rFonts w:ascii="Times New Roman" w:hAnsi="Times New Roman" w:cs="Times New Roman"/>
          <w:iCs/>
          <w:sz w:val="24"/>
          <w:szCs w:val="24"/>
          <w:lang w:val="tr-TR"/>
        </w:rPr>
        <w:t xml:space="preserve"> İslam hukuku ekolleri arasında yer alan tartışmaları inceler; yazarın amacı herhangi bir hukukçunun üstünlüğünü kanıtlamak değil, birbirlerine olan katkılarını göstermektir. Örneğin, </w:t>
      </w:r>
      <w:r w:rsidRPr="00A2760A">
        <w:rPr>
          <w:rFonts w:ascii="Times New Roman" w:hAnsi="Times New Roman" w:cs="Times New Roman"/>
          <w:sz w:val="24"/>
          <w:szCs w:val="24"/>
          <w:lang w:val="tr-TR"/>
        </w:rPr>
        <w:t>al-Shaf‘i’nin takipçisi</w:t>
      </w:r>
      <w:r w:rsidRPr="00A2760A">
        <w:rPr>
          <w:rFonts w:ascii="Times New Roman" w:hAnsi="Times New Roman" w:cs="Times New Roman"/>
          <w:iCs/>
          <w:sz w:val="24"/>
          <w:szCs w:val="24"/>
          <w:lang w:val="tr-TR"/>
        </w:rPr>
        <w:t xml:space="preserve"> </w:t>
      </w:r>
      <w:r w:rsidRPr="00A2760A">
        <w:rPr>
          <w:rFonts w:ascii="Times New Roman" w:hAnsi="Times New Roman" w:cs="Times New Roman"/>
          <w:sz w:val="24"/>
          <w:szCs w:val="24"/>
          <w:lang w:val="tr-TR"/>
        </w:rPr>
        <w:t>al-Ghazali</w:t>
      </w:r>
      <w:r w:rsidRPr="00A2760A">
        <w:rPr>
          <w:rFonts w:ascii="Times New Roman" w:hAnsi="Times New Roman" w:cs="Times New Roman"/>
          <w:iCs/>
          <w:sz w:val="24"/>
          <w:szCs w:val="24"/>
          <w:lang w:val="tr-TR"/>
        </w:rPr>
        <w:t xml:space="preserve"> tarafından sunulan, Hanefi ve Malikilerin önceki karar ve teorilerini de içeren, hukukun amaçları ile ilgili teoriyi detaylı olarak inceler.  </w:t>
      </w:r>
    </w:p>
    <w:p w:rsidR="00FD1B0F" w:rsidRPr="00A2760A" w:rsidRDefault="00FD1B0F" w:rsidP="00FD1B0F">
      <w:pPr>
        <w:spacing w:after="0" w:line="480" w:lineRule="auto"/>
        <w:jc w:val="both"/>
        <w:rPr>
          <w:rFonts w:ascii="Times New Roman" w:hAnsi="Times New Roman" w:cs="Times New Roman"/>
          <w:iCs/>
          <w:sz w:val="24"/>
          <w:szCs w:val="24"/>
          <w:lang w:val="tr-TR"/>
        </w:rPr>
      </w:pPr>
    </w:p>
    <w:p w:rsidR="00FD1B0F" w:rsidRPr="00A2760A" w:rsidRDefault="00FD1B0F" w:rsidP="00FD1B0F">
      <w:pPr>
        <w:spacing w:after="0" w:line="480" w:lineRule="auto"/>
        <w:jc w:val="both"/>
        <w:rPr>
          <w:rFonts w:ascii="Times New Roman" w:hAnsi="Times New Roman" w:cs="Times New Roman"/>
          <w:iCs/>
          <w:sz w:val="24"/>
          <w:szCs w:val="24"/>
          <w:lang w:val="tr-TR"/>
        </w:rPr>
      </w:pPr>
      <w:r w:rsidRPr="00A2760A">
        <w:rPr>
          <w:rFonts w:ascii="Times New Roman" w:hAnsi="Times New Roman" w:cs="Times New Roman"/>
          <w:sz w:val="24"/>
          <w:szCs w:val="24"/>
          <w:lang w:val="tr-TR"/>
        </w:rPr>
        <w:t xml:space="preserve">Yazar </w:t>
      </w:r>
      <w:r w:rsidRPr="00A2760A">
        <w:rPr>
          <w:rFonts w:ascii="Times New Roman" w:hAnsi="Times New Roman" w:cs="Times New Roman"/>
          <w:iCs/>
          <w:sz w:val="24"/>
          <w:szCs w:val="24"/>
          <w:lang w:val="tr-TR"/>
        </w:rPr>
        <w:t xml:space="preserve">İslam hukukunun amaçları ile modern dünya arasında bir bağ kurmayı amaçlar ve mükemmelleştirilmelerinin önemi üzerinde durur. Yazar, daha sonra Batı’da yasaların tanımlanması için kullanılan “tanınma kuralları” fikrini inceler ve İslam’da kullanılan içtihat kavramıyla karşılaştırır. Son olarak, yazar çalışmasında ortaya çıkan İslam hukuku teorisini tanımlar ve İslam hukukunun gelişme, yapı ve doğasını çelişkilere yer vermeyecek bir şekilde açıklamaya çalışır. </w:t>
      </w:r>
    </w:p>
    <w:p w:rsidR="00FD1B0F" w:rsidRPr="00A2760A" w:rsidRDefault="00FD1B0F" w:rsidP="00FD1B0F">
      <w:pPr>
        <w:spacing w:after="0" w:line="480" w:lineRule="auto"/>
        <w:jc w:val="both"/>
        <w:rPr>
          <w:rFonts w:ascii="Times New Roman" w:hAnsi="Times New Roman" w:cs="Times New Roman"/>
          <w:sz w:val="24"/>
          <w:szCs w:val="24"/>
          <w:lang w:val="tr-TR"/>
        </w:rPr>
      </w:pPr>
    </w:p>
    <w:p w:rsidR="00FD1B0F" w:rsidRPr="00A2760A" w:rsidRDefault="00FD1B0F" w:rsidP="00FD1B0F">
      <w:pPr>
        <w:spacing w:after="0" w:line="480" w:lineRule="auto"/>
        <w:jc w:val="both"/>
        <w:rPr>
          <w:rFonts w:ascii="Times New Roman" w:hAnsi="Times New Roman" w:cs="Times New Roman"/>
          <w:sz w:val="24"/>
          <w:szCs w:val="24"/>
          <w:lang w:val="tr-TR"/>
        </w:rPr>
      </w:pPr>
      <w:r w:rsidRPr="00A2760A">
        <w:rPr>
          <w:rFonts w:ascii="Times New Roman" w:hAnsi="Times New Roman" w:cs="Times New Roman"/>
          <w:iCs/>
          <w:sz w:val="24"/>
          <w:szCs w:val="24"/>
          <w:lang w:val="tr-TR"/>
        </w:rPr>
        <w:t>Kitap, fıkıh usulleri ve hukuku fikirler ve kavramlar açısından bağdaştırmaya çalışması açısından benzersiz bir eserdir. Yazar,  İslam’ın ideallerini etken bir modern hukuk sistemine kolaylıkla uygulayabilecek bir modeli başarıyla ortaya koymuştur.</w:t>
      </w:r>
    </w:p>
    <w:p w:rsidR="00FD1B0F" w:rsidRPr="00A2760A" w:rsidRDefault="00FD1B0F" w:rsidP="00FD1B0F">
      <w:pPr>
        <w:spacing w:after="0" w:line="480" w:lineRule="auto"/>
        <w:rPr>
          <w:rFonts w:ascii="Times New Roman" w:hAnsi="Times New Roman" w:cs="Times New Roman"/>
          <w:sz w:val="24"/>
          <w:szCs w:val="24"/>
          <w:lang w:val="tr-TR"/>
        </w:rPr>
      </w:pPr>
    </w:p>
    <w:p w:rsidR="00FD1B0F" w:rsidRPr="00A2760A" w:rsidRDefault="00FD1B0F" w:rsidP="00FD1B0F">
      <w:pPr>
        <w:spacing w:after="0" w:line="480" w:lineRule="auto"/>
        <w:jc w:val="right"/>
        <w:rPr>
          <w:rFonts w:ascii="Times New Roman" w:hAnsi="Times New Roman" w:cs="Times New Roman"/>
          <w:sz w:val="24"/>
          <w:szCs w:val="24"/>
          <w:lang w:val="tr-TR"/>
        </w:rPr>
      </w:pPr>
      <w:r w:rsidRPr="00A2760A">
        <w:rPr>
          <w:rFonts w:ascii="Times New Roman" w:hAnsi="Times New Roman" w:cs="Times New Roman"/>
          <w:sz w:val="24"/>
          <w:szCs w:val="24"/>
        </w:rPr>
        <w:t xml:space="preserve">Muhammad </w:t>
      </w:r>
      <w:proofErr w:type="spellStart"/>
      <w:r w:rsidRPr="00A2760A">
        <w:rPr>
          <w:rFonts w:ascii="Times New Roman" w:hAnsi="Times New Roman" w:cs="Times New Roman"/>
          <w:sz w:val="24"/>
          <w:szCs w:val="24"/>
        </w:rPr>
        <w:t>Umer</w:t>
      </w:r>
      <w:proofErr w:type="spellEnd"/>
      <w:r w:rsidRPr="00A2760A">
        <w:rPr>
          <w:rFonts w:ascii="Times New Roman" w:hAnsi="Times New Roman" w:cs="Times New Roman"/>
          <w:sz w:val="24"/>
          <w:szCs w:val="24"/>
        </w:rPr>
        <w:t xml:space="preserve"> </w:t>
      </w:r>
      <w:proofErr w:type="spellStart"/>
      <w:r w:rsidRPr="00A2760A">
        <w:rPr>
          <w:rFonts w:ascii="Times New Roman" w:hAnsi="Times New Roman" w:cs="Times New Roman"/>
          <w:sz w:val="24"/>
          <w:szCs w:val="24"/>
        </w:rPr>
        <w:t>Rattu</w:t>
      </w:r>
      <w:proofErr w:type="spellEnd"/>
    </w:p>
    <w:p w:rsidR="00FD1B0F" w:rsidRPr="00A2760A" w:rsidRDefault="00FD1B0F" w:rsidP="00FD1B0F">
      <w:pPr>
        <w:spacing w:after="0" w:line="480" w:lineRule="auto"/>
        <w:jc w:val="right"/>
        <w:rPr>
          <w:rFonts w:ascii="Times New Roman" w:hAnsi="Times New Roman" w:cs="Times New Roman"/>
          <w:sz w:val="24"/>
          <w:szCs w:val="24"/>
        </w:rPr>
      </w:pPr>
      <w:r>
        <w:rPr>
          <w:rFonts w:ascii="Times New Roman" w:hAnsi="Times New Roman" w:cs="Times New Roman"/>
          <w:sz w:val="24"/>
          <w:szCs w:val="24"/>
          <w:lang w:val="tr-TR"/>
        </w:rPr>
        <w:t>Çeviren</w:t>
      </w:r>
      <w:r w:rsidRPr="00A2760A">
        <w:rPr>
          <w:rFonts w:ascii="Times New Roman" w:hAnsi="Times New Roman" w:cs="Times New Roman"/>
          <w:sz w:val="24"/>
          <w:szCs w:val="24"/>
          <w:lang w:val="tr-TR"/>
        </w:rPr>
        <w:t xml:space="preserve"> Aysu Dinçer</w:t>
      </w:r>
    </w:p>
    <w:sectPr w:rsidR="00FD1B0F" w:rsidRPr="00A2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D"/>
    <w:rsid w:val="000071C0"/>
    <w:rsid w:val="00083E80"/>
    <w:rsid w:val="0017506B"/>
    <w:rsid w:val="00361581"/>
    <w:rsid w:val="006C6B50"/>
    <w:rsid w:val="00791238"/>
    <w:rsid w:val="0080560D"/>
    <w:rsid w:val="00EC6995"/>
    <w:rsid w:val="00FD1B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9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2015-02-23T16:05:00Z</dcterms:created>
  <dcterms:modified xsi:type="dcterms:W3CDTF">2015-06-15T14:00:00Z</dcterms:modified>
</cp:coreProperties>
</file>