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0A" w:rsidRPr="00DA0DE2" w:rsidRDefault="00663C0A" w:rsidP="00663C0A">
      <w:pPr>
        <w:bidi/>
        <w:spacing w:after="0" w:line="480" w:lineRule="auto"/>
        <w:rPr>
          <w:rFonts w:ascii="Times New Roman" w:hAnsi="Times New Roman" w:cs="Times New Roman"/>
          <w:i/>
          <w:sz w:val="24"/>
          <w:szCs w:val="24"/>
          <w:rtl/>
        </w:rPr>
      </w:pPr>
      <w:r w:rsidRPr="00DA0DE2">
        <w:rPr>
          <w:rFonts w:ascii="Times New Roman" w:hAnsi="Times New Roman" w:cs="Times New Roman"/>
          <w:i/>
          <w:sz w:val="24"/>
          <w:szCs w:val="24"/>
          <w:rtl/>
        </w:rPr>
        <w:t xml:space="preserve">محمد، الصديق أبو الحسن. </w:t>
      </w:r>
      <w:r w:rsidRPr="00DA0DE2">
        <w:rPr>
          <w:rFonts w:ascii="Times New Roman" w:hAnsi="Times New Roman" w:cs="Times New Roman"/>
          <w:iCs/>
          <w:sz w:val="24"/>
          <w:szCs w:val="24"/>
          <w:rtl/>
        </w:rPr>
        <w:t xml:space="preserve">حق الدفاع الشرعي </w:t>
      </w:r>
      <w:r>
        <w:rPr>
          <w:rFonts w:ascii="Times New Roman" w:hAnsi="Times New Roman" w:cs="Times New Roman"/>
          <w:iCs/>
          <w:sz w:val="24"/>
          <w:szCs w:val="24"/>
          <w:rtl/>
        </w:rPr>
        <w:t>«</w:t>
      </w:r>
      <w:r w:rsidRPr="00DA0DE2">
        <w:rPr>
          <w:rFonts w:ascii="Times New Roman" w:hAnsi="Times New Roman" w:cs="Times New Roman"/>
          <w:iCs/>
          <w:sz w:val="24"/>
          <w:szCs w:val="24"/>
          <w:rtl/>
        </w:rPr>
        <w:t>الخاص</w:t>
      </w:r>
      <w:r>
        <w:rPr>
          <w:rFonts w:ascii="Times New Roman" w:hAnsi="Times New Roman" w:cs="Times New Roman"/>
          <w:iCs/>
          <w:sz w:val="24"/>
          <w:szCs w:val="24"/>
          <w:rtl/>
        </w:rPr>
        <w:t>»</w:t>
      </w:r>
      <w:r w:rsidRPr="00DA0DE2">
        <w:rPr>
          <w:rFonts w:ascii="Times New Roman" w:hAnsi="Times New Roman" w:cs="Times New Roman"/>
          <w:iCs/>
          <w:sz w:val="24"/>
          <w:szCs w:val="24"/>
          <w:rtl/>
        </w:rPr>
        <w:t>: دراسة مقارنة بالقانون الوضعي</w:t>
      </w:r>
      <w:r w:rsidRPr="00DA0DE2">
        <w:rPr>
          <w:rFonts w:ascii="Times New Roman" w:hAnsi="Times New Roman" w:cs="Times New Roman"/>
          <w:i/>
          <w:sz w:val="24"/>
          <w:szCs w:val="24"/>
          <w:rtl/>
        </w:rPr>
        <w:t xml:space="preserve">. القاهرة: دار التوفيق النموذجية للطباعة، ۱۹۹۲، ۲٣۹ ص. </w:t>
      </w:r>
    </w:p>
    <w:p w:rsidR="00663C0A" w:rsidRPr="00DA0DE2" w:rsidRDefault="00663C0A" w:rsidP="00663C0A">
      <w:pPr>
        <w:bidi/>
        <w:spacing w:after="0" w:line="480" w:lineRule="auto"/>
        <w:rPr>
          <w:rFonts w:ascii="Times New Roman" w:hAnsi="Times New Roman" w:cs="Times New Roman"/>
          <w:i/>
          <w:sz w:val="24"/>
          <w:szCs w:val="24"/>
          <w:rtl/>
        </w:rPr>
      </w:pPr>
    </w:p>
    <w:p w:rsidR="00471118" w:rsidRPr="003B401C" w:rsidRDefault="00663C0A" w:rsidP="00663C0A">
      <w:pPr>
        <w:spacing w:after="0" w:line="480" w:lineRule="auto"/>
        <w:rPr>
          <w:rFonts w:ascii="Times New Roman" w:hAnsi="Times New Roman" w:cs="Times New Roman"/>
          <w:b/>
          <w:bCs/>
          <w:sz w:val="24"/>
          <w:szCs w:val="24"/>
          <w:lang w:val="tr-TR"/>
        </w:rPr>
      </w:pPr>
      <w:r w:rsidRPr="00DA0DE2">
        <w:rPr>
          <w:rFonts w:ascii="Times New Roman" w:hAnsi="Times New Roman" w:cs="Times New Roman"/>
          <w:iCs/>
          <w:sz w:val="24"/>
          <w:szCs w:val="24"/>
          <w:lang w:val="en-US"/>
        </w:rPr>
        <w:t>Muhammad, al-Siddiq Abu al-Hasan</w:t>
      </w:r>
      <w:r w:rsidRPr="00DA0DE2">
        <w:rPr>
          <w:rFonts w:ascii="Times New Roman" w:hAnsi="Times New Roman" w:cs="Times New Roman"/>
          <w:iCs/>
          <w:sz w:val="24"/>
          <w:szCs w:val="24"/>
        </w:rPr>
        <w:t>.</w:t>
      </w:r>
      <w:r w:rsidRPr="00DA0DE2">
        <w:rPr>
          <w:rFonts w:ascii="Times New Roman" w:hAnsi="Times New Roman" w:cs="Times New Roman"/>
          <w:i/>
          <w:iCs/>
          <w:sz w:val="24"/>
          <w:szCs w:val="24"/>
        </w:rPr>
        <w:t xml:space="preserve"> </w:t>
      </w:r>
      <w:r w:rsidRPr="00DA0DE2">
        <w:rPr>
          <w:rFonts w:ascii="Times New Roman" w:hAnsi="Times New Roman" w:cs="Times New Roman"/>
          <w:i/>
          <w:iCs/>
          <w:sz w:val="24"/>
          <w:szCs w:val="24"/>
          <w:lang w:val="en-US"/>
        </w:rPr>
        <w:t>Haqq al-Difaʻ al-Sharʻi "al-Khass": Dirasa</w:t>
      </w:r>
      <w:r>
        <w:rPr>
          <w:rFonts w:ascii="Times New Roman" w:hAnsi="Times New Roman" w:cs="Times New Roman"/>
          <w:i/>
          <w:iCs/>
          <w:sz w:val="24"/>
          <w:szCs w:val="24"/>
          <w:lang w:val="en-US"/>
        </w:rPr>
        <w:t>h</w:t>
      </w:r>
      <w:r w:rsidRPr="00DA0DE2">
        <w:rPr>
          <w:rFonts w:ascii="Times New Roman" w:hAnsi="Times New Roman" w:cs="Times New Roman"/>
          <w:i/>
          <w:iCs/>
          <w:sz w:val="24"/>
          <w:szCs w:val="24"/>
          <w:lang w:val="en-US"/>
        </w:rPr>
        <w:t xml:space="preserve"> Muqarana</w:t>
      </w:r>
      <w:r>
        <w:rPr>
          <w:rFonts w:ascii="Times New Roman" w:hAnsi="Times New Roman" w:cs="Times New Roman"/>
          <w:i/>
          <w:iCs/>
          <w:sz w:val="24"/>
          <w:szCs w:val="24"/>
          <w:lang w:val="en-US"/>
        </w:rPr>
        <w:t>h</w:t>
      </w:r>
      <w:r w:rsidRPr="00DA0DE2">
        <w:rPr>
          <w:rFonts w:ascii="Times New Roman" w:hAnsi="Times New Roman" w:cs="Times New Roman"/>
          <w:i/>
          <w:iCs/>
          <w:sz w:val="24"/>
          <w:szCs w:val="24"/>
          <w:lang w:val="en-US"/>
        </w:rPr>
        <w:t xml:space="preserve"> bil-Qanun al-Wadʻi</w:t>
      </w:r>
      <w:r w:rsidRPr="00DA0DE2">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00471118">
        <w:rPr>
          <w:rFonts w:ascii="Times New Roman" w:hAnsi="Times New Roman" w:cs="Times New Roman"/>
          <w:sz w:val="24"/>
          <w:szCs w:val="24"/>
          <w:lang w:val="tr-TR"/>
        </w:rPr>
        <w:t>Kahire</w:t>
      </w:r>
      <w:r w:rsidR="00471118" w:rsidRPr="003B401C">
        <w:rPr>
          <w:rFonts w:ascii="Times New Roman" w:hAnsi="Times New Roman" w:cs="Times New Roman"/>
          <w:sz w:val="24"/>
          <w:szCs w:val="24"/>
          <w:lang w:val="tr-TR"/>
        </w:rPr>
        <w:t>: Dar al-Tawfiq al-Namwdhajiyya</w:t>
      </w:r>
      <w:r>
        <w:rPr>
          <w:rFonts w:ascii="Times New Roman" w:hAnsi="Times New Roman" w:cs="Times New Roman"/>
          <w:sz w:val="24"/>
          <w:szCs w:val="24"/>
          <w:lang w:val="tr-TR"/>
        </w:rPr>
        <w:t>h</w:t>
      </w:r>
      <w:r w:rsidR="00471118" w:rsidRPr="003B401C">
        <w:rPr>
          <w:rFonts w:ascii="Times New Roman" w:hAnsi="Times New Roman" w:cs="Times New Roman"/>
          <w:sz w:val="24"/>
          <w:szCs w:val="24"/>
          <w:lang w:val="tr-TR"/>
        </w:rPr>
        <w:t xml:space="preserve"> lil-Tiba‘a</w:t>
      </w:r>
      <w:r>
        <w:rPr>
          <w:rFonts w:ascii="Times New Roman" w:hAnsi="Times New Roman" w:cs="Times New Roman"/>
          <w:sz w:val="24"/>
          <w:szCs w:val="24"/>
          <w:lang w:val="tr-TR"/>
        </w:rPr>
        <w:t>h</w:t>
      </w:r>
      <w:r w:rsidR="00471118" w:rsidRPr="003B401C">
        <w:rPr>
          <w:rFonts w:ascii="Times New Roman" w:hAnsi="Times New Roman" w:cs="Times New Roman"/>
          <w:sz w:val="24"/>
          <w:szCs w:val="24"/>
          <w:lang w:val="tr-TR"/>
        </w:rPr>
        <w:t xml:space="preserve">, 1992, 239 </w:t>
      </w:r>
      <w:r w:rsidR="00471118">
        <w:rPr>
          <w:rFonts w:ascii="Times New Roman" w:hAnsi="Times New Roman" w:cs="Times New Roman"/>
          <w:sz w:val="24"/>
          <w:szCs w:val="24"/>
          <w:lang w:val="tr-TR"/>
        </w:rPr>
        <w:t>s.</w:t>
      </w:r>
    </w:p>
    <w:p w:rsidR="00471118" w:rsidRPr="003B401C" w:rsidRDefault="00471118" w:rsidP="00471118">
      <w:pPr>
        <w:spacing w:after="0" w:line="480" w:lineRule="auto"/>
        <w:rPr>
          <w:rFonts w:ascii="Times New Roman" w:hAnsi="Times New Roman" w:cs="Times New Roman"/>
          <w:b/>
          <w:bCs/>
          <w:sz w:val="24"/>
          <w:szCs w:val="24"/>
          <w:lang w:val="tr-TR"/>
        </w:rPr>
      </w:pPr>
    </w:p>
    <w:p w:rsidR="00471118" w:rsidRPr="00663C0A" w:rsidRDefault="00471118" w:rsidP="00471118">
      <w:pPr>
        <w:spacing w:after="0" w:line="480" w:lineRule="auto"/>
        <w:jc w:val="center"/>
        <w:rPr>
          <w:rFonts w:ascii="Times New Roman" w:hAnsi="Times New Roman" w:cs="Times New Roman"/>
          <w:b/>
          <w:bCs/>
          <w:sz w:val="24"/>
          <w:szCs w:val="24"/>
          <w:lang w:val="tr-TR"/>
        </w:rPr>
      </w:pPr>
      <w:r w:rsidRPr="00663C0A">
        <w:rPr>
          <w:rFonts w:ascii="Times New Roman" w:hAnsi="Times New Roman" w:cs="Times New Roman"/>
          <w:b/>
          <w:bCs/>
          <w:sz w:val="24"/>
          <w:szCs w:val="24"/>
          <w:lang w:val="tr-TR"/>
        </w:rPr>
        <w:t>ÖZET</w:t>
      </w:r>
    </w:p>
    <w:p w:rsidR="00471118" w:rsidRPr="003B401C" w:rsidRDefault="00471118" w:rsidP="00471118">
      <w:pPr>
        <w:spacing w:after="0" w:line="480" w:lineRule="auto"/>
        <w:jc w:val="center"/>
        <w:rPr>
          <w:rFonts w:ascii="Times New Roman" w:hAnsi="Times New Roman" w:cs="Times New Roman"/>
          <w:b/>
          <w:bCs/>
          <w:sz w:val="24"/>
          <w:szCs w:val="24"/>
          <w:lang w:val="tr-TR"/>
        </w:rPr>
      </w:pPr>
    </w:p>
    <w:p w:rsidR="00471118" w:rsidRPr="003B401C" w:rsidRDefault="00471118" w:rsidP="00471118">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Meşru Müdafaa Hakkı: Pozitif Hukuk’</w:t>
      </w:r>
      <w:smartTag w:uri="urn:schemas-microsoft-com:office:smarttags" w:element="PersonName">
        <w:smartTagPr>
          <w:attr w:name="ProductID" w:val="la Karşılaştırmalı"/>
        </w:smartTagPr>
        <w:r w:rsidRPr="003B401C">
          <w:rPr>
            <w:rFonts w:ascii="Times New Roman" w:hAnsi="Times New Roman" w:cs="Times New Roman"/>
            <w:b/>
            <w:bCs/>
            <w:sz w:val="24"/>
            <w:szCs w:val="24"/>
            <w:lang w:val="tr-TR"/>
          </w:rPr>
          <w:t>la Karşılaştırmalı</w:t>
        </w:r>
      </w:smartTag>
      <w:r w:rsidRPr="003B401C">
        <w:rPr>
          <w:rFonts w:ascii="Times New Roman" w:hAnsi="Times New Roman" w:cs="Times New Roman"/>
          <w:b/>
          <w:bCs/>
          <w:sz w:val="24"/>
          <w:szCs w:val="24"/>
          <w:lang w:val="tr-TR"/>
        </w:rPr>
        <w:t xml:space="preserve"> Bir Çalışma</w:t>
      </w:r>
    </w:p>
    <w:p w:rsidR="00471118" w:rsidRPr="003B401C" w:rsidRDefault="00471118" w:rsidP="00471118">
      <w:pPr>
        <w:spacing w:after="0" w:line="480" w:lineRule="auto"/>
        <w:jc w:val="center"/>
        <w:rPr>
          <w:rFonts w:ascii="Times New Roman" w:hAnsi="Times New Roman" w:cs="Times New Roman"/>
          <w:b/>
          <w:bCs/>
          <w:sz w:val="24"/>
          <w:szCs w:val="24"/>
          <w:lang w:val="tr-TR"/>
        </w:rPr>
      </w:pPr>
    </w:p>
    <w:p w:rsidR="00471118" w:rsidRPr="00AD654F" w:rsidRDefault="00471118" w:rsidP="00663C0A">
      <w:pPr>
        <w:bidi/>
        <w:spacing w:after="0" w:line="480" w:lineRule="auto"/>
        <w:jc w:val="center"/>
        <w:rPr>
          <w:rFonts w:ascii="Times New Roman" w:hAnsi="Times New Roman" w:cs="Times New Roman"/>
          <w:i/>
          <w:iCs/>
          <w:sz w:val="24"/>
          <w:szCs w:val="24"/>
          <w:rtl/>
          <w:lang w:val="tr-TR"/>
        </w:rPr>
      </w:pPr>
      <w:r w:rsidRPr="00AD654F">
        <w:rPr>
          <w:rFonts w:ascii="Times New Roman" w:hAnsi="Times New Roman" w:cs="Times New Roman"/>
          <w:i/>
          <w:iCs/>
          <w:sz w:val="24"/>
          <w:szCs w:val="24"/>
          <w:rtl/>
          <w:lang w:val="tr-TR"/>
        </w:rPr>
        <w:t xml:space="preserve">حق الدفاع </w:t>
      </w:r>
      <w:r w:rsidR="00663C0A" w:rsidRPr="00DA0DE2">
        <w:rPr>
          <w:rFonts w:ascii="Times New Roman" w:hAnsi="Times New Roman" w:cs="Times New Roman"/>
          <w:iCs/>
          <w:sz w:val="24"/>
          <w:szCs w:val="24"/>
          <w:rtl/>
        </w:rPr>
        <w:t xml:space="preserve">الشرعي </w:t>
      </w:r>
      <w:r w:rsidR="00663C0A">
        <w:rPr>
          <w:rFonts w:ascii="Times New Roman" w:hAnsi="Times New Roman" w:cs="Times New Roman"/>
          <w:iCs/>
          <w:sz w:val="24"/>
          <w:szCs w:val="24"/>
          <w:rtl/>
        </w:rPr>
        <w:t>«</w:t>
      </w:r>
      <w:r w:rsidR="00663C0A" w:rsidRPr="00DA0DE2">
        <w:rPr>
          <w:rFonts w:ascii="Times New Roman" w:hAnsi="Times New Roman" w:cs="Times New Roman"/>
          <w:iCs/>
          <w:sz w:val="24"/>
          <w:szCs w:val="24"/>
          <w:rtl/>
        </w:rPr>
        <w:t>الخاص</w:t>
      </w:r>
      <w:r w:rsidR="00663C0A">
        <w:rPr>
          <w:rFonts w:ascii="Times New Roman" w:hAnsi="Times New Roman" w:cs="Times New Roman"/>
          <w:iCs/>
          <w:sz w:val="24"/>
          <w:szCs w:val="24"/>
          <w:rtl/>
        </w:rPr>
        <w:t>»</w:t>
      </w:r>
      <w:r w:rsidR="00663C0A" w:rsidRPr="00DA0DE2">
        <w:rPr>
          <w:rFonts w:ascii="Times New Roman" w:hAnsi="Times New Roman" w:cs="Times New Roman"/>
          <w:iCs/>
          <w:sz w:val="24"/>
          <w:szCs w:val="24"/>
          <w:rtl/>
        </w:rPr>
        <w:t xml:space="preserve">: </w:t>
      </w:r>
      <w:r w:rsidRPr="00AD654F">
        <w:rPr>
          <w:rFonts w:ascii="Times New Roman" w:hAnsi="Times New Roman" w:cs="Times New Roman"/>
          <w:i/>
          <w:iCs/>
          <w:sz w:val="24"/>
          <w:szCs w:val="24"/>
          <w:rtl/>
          <w:lang w:val="tr-TR"/>
        </w:rPr>
        <w:t>دراسة مقارنة بالقانون الوضعي</w:t>
      </w:r>
    </w:p>
    <w:p w:rsidR="00471118" w:rsidRPr="003B401C" w:rsidRDefault="00471118" w:rsidP="00471118">
      <w:pPr>
        <w:spacing w:after="0" w:line="480" w:lineRule="auto"/>
        <w:jc w:val="both"/>
        <w:rPr>
          <w:rFonts w:ascii="Times New Roman" w:hAnsi="Times New Roman" w:cs="Times New Roman"/>
          <w:i/>
          <w:iCs/>
          <w:sz w:val="24"/>
          <w:szCs w:val="24"/>
          <w:lang w:val="tr-TR"/>
        </w:rPr>
      </w:pPr>
    </w:p>
    <w:p w:rsidR="00471118" w:rsidRPr="003B401C" w:rsidRDefault="00471118" w:rsidP="0047111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kitabın yazarı olan al-Siddiq Abu al-Hasan Muhammad, Sudan mahkemeleri bünyesinde görev yapan bir temyiz hâkimidir. Yazarın bu çalışması, 1978 yılında tamamlanmış yüksek lisans tezinin kısaltılmış bir sürümüdür. </w:t>
      </w:r>
    </w:p>
    <w:p w:rsidR="00471118" w:rsidRPr="003B401C" w:rsidRDefault="00471118" w:rsidP="00471118">
      <w:pPr>
        <w:spacing w:after="0" w:line="480" w:lineRule="auto"/>
        <w:jc w:val="both"/>
        <w:rPr>
          <w:rFonts w:ascii="Times New Roman" w:hAnsi="Times New Roman" w:cs="Times New Roman"/>
          <w:sz w:val="24"/>
          <w:szCs w:val="24"/>
          <w:lang w:val="tr-TR"/>
        </w:rPr>
      </w:pPr>
    </w:p>
    <w:p w:rsidR="00471118" w:rsidRPr="003B401C" w:rsidRDefault="00471118" w:rsidP="00257F4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Kitabın ön sözünde, bir kişinin şahs</w:t>
      </w:r>
      <w:r w:rsidR="00257F47">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 müdafaa hakkının ardındaki mantık ele alınmaktadır.  Muhammad’a göre, şahs</w:t>
      </w:r>
      <w:r w:rsidR="00257F47">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 müdafaa, “kişinin kendini yetkililerden korunma talep edemeyeceği bir tehlikeyle karşı karşıya bulduğu veya bu tehlikeden kurtulmak için önlemler alamayacağı” durumlarda ortaya çıkar. Kişi, “kişisel onurunu ve maddi varlığını koruma hakkının yanı sıra kötülüğü ve saldırıyı bertaraf için mütecavizler, saldırganlar ve asilerle çatışma ve hatta onları öldürme hakkına da sahiptir… [Eylemleri], tamamı İslam hukukunca yasaklanmış tehlike ve zarar kaynaklarının yok edilmesiyle sonuçlanır.” Yazar meşru müdafaaya hiç </w:t>
      </w:r>
      <w:r w:rsidRPr="003B401C">
        <w:rPr>
          <w:rFonts w:ascii="Times New Roman" w:hAnsi="Times New Roman" w:cs="Times New Roman"/>
          <w:sz w:val="24"/>
          <w:szCs w:val="24"/>
          <w:lang w:val="tr-TR"/>
        </w:rPr>
        <w:lastRenderedPageBreak/>
        <w:t xml:space="preserve">kimse atıfta bulunmadığı için araştırmacıların bu hususla ilgili İslami kaynak bulma konusunda yaşadığı zorlukları da tartışmaktadır. </w:t>
      </w:r>
    </w:p>
    <w:p w:rsidR="00471118" w:rsidRPr="003B401C" w:rsidRDefault="00471118" w:rsidP="00471118">
      <w:pPr>
        <w:spacing w:after="0" w:line="480" w:lineRule="auto"/>
        <w:jc w:val="both"/>
        <w:rPr>
          <w:rFonts w:ascii="Times New Roman" w:hAnsi="Times New Roman" w:cs="Times New Roman"/>
          <w:sz w:val="24"/>
          <w:szCs w:val="24"/>
          <w:lang w:val="tr-TR"/>
        </w:rPr>
      </w:pPr>
    </w:p>
    <w:p w:rsidR="00471118" w:rsidRPr="003B401C" w:rsidRDefault="00471118" w:rsidP="00257F4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Muhammad, şahs</w:t>
      </w:r>
      <w:r w:rsidR="00257F47">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 müdafaanın caiz görülebilirliğinin nedenlerini şeriat ve Sudan hukukunu mukayese ederek ele almaktadır. </w:t>
      </w:r>
    </w:p>
    <w:p w:rsidR="00471118" w:rsidRPr="003B401C" w:rsidRDefault="00471118" w:rsidP="00471118">
      <w:pPr>
        <w:spacing w:after="0" w:line="480" w:lineRule="auto"/>
        <w:jc w:val="both"/>
        <w:rPr>
          <w:rFonts w:ascii="Times New Roman" w:hAnsi="Times New Roman" w:cs="Times New Roman"/>
          <w:sz w:val="24"/>
          <w:szCs w:val="24"/>
          <w:lang w:val="tr-TR"/>
        </w:rPr>
      </w:pPr>
    </w:p>
    <w:p w:rsidR="00471118" w:rsidRPr="003B401C" w:rsidRDefault="00471118" w:rsidP="0047111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O ilk önce “tecavüz” teriminin günlük dildeki kullanımını ve hukuki terminolojideki anlamını gözlemlemek suretiyle İslam hukukuna göre meşru müdafaayı tanımlamaktadır. Yazar, ayrıca, çağdaş fıkıhçılar ve seküler hukukçulara göre  “mütecaviz” ve “meşru müdafaa” ifadelerinin tanımını vermektedir. </w:t>
      </w:r>
    </w:p>
    <w:p w:rsidR="00471118" w:rsidRPr="003B401C" w:rsidRDefault="00471118" w:rsidP="00471118">
      <w:pPr>
        <w:spacing w:after="0" w:line="480" w:lineRule="auto"/>
        <w:jc w:val="both"/>
        <w:rPr>
          <w:rFonts w:ascii="Times New Roman" w:hAnsi="Times New Roman" w:cs="Times New Roman"/>
          <w:sz w:val="24"/>
          <w:szCs w:val="24"/>
          <w:lang w:val="tr-TR"/>
        </w:rPr>
      </w:pPr>
    </w:p>
    <w:p w:rsidR="00471118" w:rsidRPr="003B401C" w:rsidRDefault="00471118" w:rsidP="0047111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Muhammad tarih boyunca İslam hukukunda yer alan meşru müdafaa hakkı ile bunun seküler hukuktaki meşruiyetinin kökenlerini incelemektedir. </w:t>
      </w:r>
    </w:p>
    <w:p w:rsidR="00471118" w:rsidRPr="003B401C" w:rsidRDefault="00471118" w:rsidP="00471118">
      <w:pPr>
        <w:spacing w:after="0" w:line="480" w:lineRule="auto"/>
        <w:jc w:val="both"/>
        <w:rPr>
          <w:rFonts w:ascii="Times New Roman" w:hAnsi="Times New Roman" w:cs="Times New Roman"/>
          <w:sz w:val="24"/>
          <w:szCs w:val="24"/>
          <w:lang w:val="tr-TR"/>
        </w:rPr>
      </w:pPr>
    </w:p>
    <w:p w:rsidR="00471118" w:rsidRPr="003B401C" w:rsidRDefault="00471118" w:rsidP="0047111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Son bölümler, İslam fıkhına göre meşru müdafaanın sınırlarını ve destekleyici kanıttan yoksun bir meşru müdafaanın kullanımına getirilen koşulları sunmaktadır. Yazar, burada kişinin hayatını ya da bedenini korumasının yanı sıra onuru, evin kutsallığını, malı mülkü ve başkalarını korumanın kurallarını tartışmaktadır. </w:t>
      </w:r>
    </w:p>
    <w:p w:rsidR="00471118" w:rsidRPr="003B401C" w:rsidRDefault="00471118" w:rsidP="00471118">
      <w:pPr>
        <w:spacing w:after="0" w:line="480" w:lineRule="auto"/>
        <w:jc w:val="both"/>
        <w:rPr>
          <w:rFonts w:ascii="Times New Roman" w:hAnsi="Times New Roman" w:cs="Times New Roman"/>
          <w:sz w:val="24"/>
          <w:szCs w:val="24"/>
          <w:lang w:val="tr-TR"/>
        </w:rPr>
      </w:pPr>
    </w:p>
    <w:p w:rsidR="00471118" w:rsidRPr="003B401C" w:rsidRDefault="00471118" w:rsidP="0047111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Çalışmanın özünde akademik bir tez olduğunu düşünürsek kitapta bir kaynakça bölümünün olmaması şaşırtıcıdır. Ancak, yazar dipnotlarda bazı kaynak bilgilerini vermektedir. </w:t>
      </w:r>
    </w:p>
    <w:p w:rsidR="00471118" w:rsidRPr="003B401C" w:rsidRDefault="00471118" w:rsidP="00471118">
      <w:pPr>
        <w:spacing w:after="0" w:line="480" w:lineRule="auto"/>
        <w:jc w:val="both"/>
        <w:rPr>
          <w:rFonts w:ascii="Times New Roman" w:hAnsi="Times New Roman" w:cs="Times New Roman"/>
          <w:sz w:val="24"/>
          <w:szCs w:val="24"/>
          <w:lang w:val="tr-TR"/>
        </w:rPr>
      </w:pPr>
    </w:p>
    <w:p w:rsidR="00471118" w:rsidRPr="003B401C" w:rsidRDefault="00471118" w:rsidP="00257F4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Birtakım eksikliklerine rağmen, bu çalışma şahs</w:t>
      </w:r>
      <w:r w:rsidR="00257F47">
        <w:rPr>
          <w:rFonts w:ascii="Times New Roman" w:hAnsi="Times New Roman" w:cs="Times New Roman"/>
          <w:sz w:val="24"/>
          <w:szCs w:val="24"/>
          <w:lang w:val="tr-TR"/>
        </w:rPr>
        <w:t>i</w:t>
      </w:r>
      <w:bookmarkStart w:id="0" w:name="_GoBack"/>
      <w:bookmarkEnd w:id="0"/>
      <w:r w:rsidRPr="003B401C">
        <w:rPr>
          <w:rFonts w:ascii="Times New Roman" w:hAnsi="Times New Roman" w:cs="Times New Roman"/>
          <w:sz w:val="24"/>
          <w:szCs w:val="24"/>
          <w:lang w:val="tr-TR"/>
        </w:rPr>
        <w:t xml:space="preserve"> müdafaa ya da Sudan’daki ceza kanunu ile İslam’ın dört temel mezhebi arasındaki karşılaştırma konularıyla ilgilenenler için yararlı bir kaynak olacaktır.  </w:t>
      </w:r>
    </w:p>
    <w:p w:rsidR="00471118" w:rsidRPr="003B401C" w:rsidRDefault="00471118" w:rsidP="00471118">
      <w:pPr>
        <w:spacing w:after="0" w:line="480" w:lineRule="auto"/>
        <w:jc w:val="both"/>
        <w:rPr>
          <w:rFonts w:ascii="Times New Roman" w:hAnsi="Times New Roman" w:cs="Times New Roman"/>
          <w:sz w:val="24"/>
          <w:szCs w:val="24"/>
          <w:lang w:val="tr-TR"/>
        </w:rPr>
      </w:pPr>
    </w:p>
    <w:p w:rsidR="00471118" w:rsidRPr="003B401C" w:rsidRDefault="00471118" w:rsidP="00471118">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Dahlia Sabry</w:t>
      </w:r>
    </w:p>
    <w:p w:rsidR="009A0E2D" w:rsidRPr="00471118" w:rsidRDefault="00471118" w:rsidP="00471118">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 Hasan Çolak</w:t>
      </w:r>
    </w:p>
    <w:sectPr w:rsidR="009A0E2D" w:rsidRPr="00471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2A"/>
    <w:rsid w:val="000071C0"/>
    <w:rsid w:val="00083E80"/>
    <w:rsid w:val="00257F47"/>
    <w:rsid w:val="0042709A"/>
    <w:rsid w:val="00471118"/>
    <w:rsid w:val="00663C0A"/>
    <w:rsid w:val="006C6B50"/>
    <w:rsid w:val="00791238"/>
    <w:rsid w:val="00CB6C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404</Words>
  <Characters>2307</Characters>
  <Application>Microsoft Office Word</Application>
  <DocSecurity>0</DocSecurity>
  <Lines>19</Lines>
  <Paragraphs>5</Paragraphs>
  <ScaleCrop>false</ScaleCrop>
  <Company>Microsoft</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2015-02-23T13:14:00Z</dcterms:created>
  <dcterms:modified xsi:type="dcterms:W3CDTF">2015-06-12T12:38:00Z</dcterms:modified>
</cp:coreProperties>
</file>