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F1" w:rsidRPr="00DA0DE2" w:rsidRDefault="004F63F1" w:rsidP="00EE074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الشرقاوي، حسن.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ar-EG"/>
        </w:rPr>
        <w:t>الأخلاق الإسلامية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. القاهرة: مؤسسة مختار للنشر و التوزيع، ١٩٨٨، ٤١٦ ص.</w:t>
      </w:r>
    </w:p>
    <w:p w:rsidR="004F63F1" w:rsidRPr="00DA0DE2" w:rsidRDefault="004F63F1" w:rsidP="00EE0749">
      <w:pPr>
        <w:bidi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4F63F1" w:rsidRPr="00DA0DE2" w:rsidRDefault="004F63F1" w:rsidP="00EE0749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Al-Sharqawi, Hasan.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bidi="ar-EG"/>
        </w:rPr>
        <w:t>Al-Akhlaq al-Islamiyya</w:t>
      </w:r>
      <w:r w:rsidR="00497C15">
        <w:rPr>
          <w:rFonts w:ascii="Times New Roman" w:hAnsi="Times New Roman" w:cs="Times New Roman"/>
          <w:i/>
          <w:iCs/>
          <w:sz w:val="24"/>
          <w:szCs w:val="24"/>
          <w:lang w:bidi="ar-EG"/>
        </w:rPr>
        <w:t>h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>. Cairo</w:t>
      </w:r>
      <w:r w:rsidR="0033578E">
        <w:rPr>
          <w:rFonts w:ascii="Times New Roman" w:hAnsi="Times New Roman" w:cs="Times New Roman"/>
          <w:sz w:val="24"/>
          <w:szCs w:val="24"/>
          <w:lang w:bidi="ar-EG"/>
        </w:rPr>
        <w:t xml:space="preserve">: 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>Mu’assasat Mukhtar li</w:t>
      </w:r>
      <w:r w:rsidR="00622B4F">
        <w:rPr>
          <w:rFonts w:ascii="Times New Roman" w:hAnsi="Times New Roman" w:cs="Times New Roman"/>
          <w:sz w:val="24"/>
          <w:szCs w:val="24"/>
          <w:lang w:bidi="ar-EG"/>
        </w:rPr>
        <w:t>l-Nashr wa al-Tawzi‘, 1988, 416pp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. </w:t>
      </w:r>
    </w:p>
    <w:p w:rsidR="004F63F1" w:rsidRPr="00DA0DE2" w:rsidRDefault="004F63F1" w:rsidP="004F63F1">
      <w:pPr>
        <w:bidi/>
        <w:spacing w:after="0"/>
        <w:jc w:val="right"/>
        <w:rPr>
          <w:rFonts w:ascii="Times New Roman" w:hAnsi="Times New Roman" w:cs="Times New Roman"/>
          <w:sz w:val="24"/>
          <w:szCs w:val="24"/>
          <w:lang w:bidi="ar-EG"/>
        </w:rPr>
      </w:pPr>
    </w:p>
    <w:p w:rsidR="004F63F1" w:rsidRPr="00DA0DE2" w:rsidRDefault="004F63F1" w:rsidP="004F63F1">
      <w:pPr>
        <w:bidi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4F63F1" w:rsidRPr="006F0D7B" w:rsidRDefault="004F63F1" w:rsidP="004F63F1">
      <w:pPr>
        <w:bidi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bookmarkStart w:id="0" w:name="_GoBack"/>
      <w:r w:rsidRPr="006F0D7B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ملخص </w:t>
      </w:r>
    </w:p>
    <w:bookmarkEnd w:id="0"/>
    <w:p w:rsidR="004F63F1" w:rsidRPr="00DA0DE2" w:rsidRDefault="004F63F1" w:rsidP="004F63F1">
      <w:pPr>
        <w:bidi/>
        <w:spacing w:after="0"/>
        <w:jc w:val="center"/>
        <w:rPr>
          <w:rFonts w:ascii="Times New Roman" w:hAnsi="Times New Roman" w:cs="Times New Roman"/>
          <w:sz w:val="24"/>
          <w:szCs w:val="24"/>
          <w:lang w:bidi="ar-EG"/>
        </w:rPr>
      </w:pPr>
    </w:p>
    <w:p w:rsidR="004F63F1" w:rsidRPr="00DA0DE2" w:rsidRDefault="004F63F1" w:rsidP="004F63F1">
      <w:pPr>
        <w:bidi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4F63F1" w:rsidRPr="00DA0DE2" w:rsidRDefault="004F63F1" w:rsidP="004F63F1">
      <w:pPr>
        <w:bidi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الأخلاق الإسلامية</w:t>
      </w:r>
    </w:p>
    <w:p w:rsidR="004F63F1" w:rsidRPr="00DA0DE2" w:rsidRDefault="004F63F1" w:rsidP="004F63F1">
      <w:pPr>
        <w:bidi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4F63F1" w:rsidRPr="00DA0DE2" w:rsidRDefault="004F63F1" w:rsidP="004F63F1">
      <w:pPr>
        <w:bidi/>
        <w:spacing w:after="0"/>
        <w:jc w:val="center"/>
        <w:rPr>
          <w:rFonts w:ascii="Times New Roman" w:hAnsi="Times New Roman" w:cs="Times New Roman"/>
          <w:sz w:val="24"/>
          <w:szCs w:val="24"/>
          <w:lang w:bidi="ar-EG"/>
        </w:rPr>
      </w:pPr>
    </w:p>
    <w:p w:rsidR="004F63F1" w:rsidRPr="00DA0DE2" w:rsidRDefault="004F63F1" w:rsidP="004F63F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يعد هذا الكتاب من الدراسات التي وُضعت للرد على بعض دعاوي المفكرين، مثل يوسف إدريس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،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حول قيامهم بإحلال أنواع من الفكر العلماني كبدائل للإيمان بالله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،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حيث كشفت عما فيها من خطأ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أبرزت ما للقدوة من أهمية لإتمام مكارم الأخلاق. و قد تعرض المؤلف للخلاف الجوهري في الأخلاق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التربية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الاقتصاد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التشريع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علم النفس عند كل من الغربيين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الإسلاميين من حيث المنهجية.</w:t>
      </w:r>
    </w:p>
    <w:p w:rsidR="004F63F1" w:rsidRPr="00DA0DE2" w:rsidRDefault="004F63F1" w:rsidP="004F63F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4F63F1" w:rsidRPr="00DA0DE2" w:rsidRDefault="004F63F1" w:rsidP="0033578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و يستهل الكتاب بنبذة عن أخلاق الرسول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الصحابة، و قبل المقارنة بين النظامين التعليميين الإسلامي و الغربي، يتناول المؤلف خصائص المنهج الإسلامي الأخلاقي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التي ينفرد بها دون غيره من المناهج التجريبية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الموضوعية مشيرا إلى الطرق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الأساليب التربوية التي استخدمها العلماء المسلمون لقرون عديدة بما فيها القدوة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المحاكاة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غيرها.</w:t>
      </w:r>
    </w:p>
    <w:p w:rsidR="004F63F1" w:rsidRPr="00DA0DE2" w:rsidRDefault="004F63F1" w:rsidP="004F63F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4F63F1" w:rsidRPr="00DA0DE2" w:rsidRDefault="004F63F1" w:rsidP="004F63F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ثم يبين المؤلف غايات التربية الإسلامية عارضا لأمثلة عن بعض الفضائل الأخلاقية. كما و يتناول العقائد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الأخلاق في المذاهب القديمة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الأخلاق في الفكر الغربي الحديث، مقارنا بين الأخلاق في اليهودية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المسيحية، و يشير إلى المدارس الأخلاقية الغربية الحديثة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الفكر الحديث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فلاسفة الغرب المحدثين. و في الفصلين الأخيرين يتحدث الكتاب عن ابتلاء الإسلام بانقسامات بغيضة كان وراءها فلاسفة وثنيون أو علمانيون و التغيرات الأخلاقية التي تعيشها البشرية. </w:t>
      </w:r>
    </w:p>
    <w:p w:rsidR="004F63F1" w:rsidRPr="00DA0DE2" w:rsidRDefault="004F63F1" w:rsidP="004F63F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4F63F1" w:rsidRPr="00DA0DE2" w:rsidRDefault="004F63F1" w:rsidP="004F63F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و من الغريب أن تنتهي الدراسة دون تحديد أهم النتائج التي تشير إلى جوهر الحقيقة التي قصد المؤلف إبرازها،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كذلك لم يقدم المؤلف قائمة المراجع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المصادر التي استفاد منها،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لكن ما يعطي الدراسة مذاقا خاصا إبرازها لخصوصيات الأخلاق الإسلامية،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هو ما يضعها في مكانها الصحيح في دراسة الأخلاق و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القيم الأخلاقية.</w:t>
      </w:r>
    </w:p>
    <w:p w:rsidR="004F63F1" w:rsidRPr="00DA0DE2" w:rsidRDefault="004F63F1" w:rsidP="004F63F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9A0E2D" w:rsidRPr="004F63F1" w:rsidRDefault="004F63F1" w:rsidP="00AB073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صاحب عالم الأعظمي الندوي</w:t>
      </w:r>
    </w:p>
    <w:sectPr w:rsidR="009A0E2D" w:rsidRPr="004F6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E4"/>
    <w:rsid w:val="000071C0"/>
    <w:rsid w:val="00083E80"/>
    <w:rsid w:val="002815E4"/>
    <w:rsid w:val="0033578E"/>
    <w:rsid w:val="00497C15"/>
    <w:rsid w:val="004F63F1"/>
    <w:rsid w:val="00622B4F"/>
    <w:rsid w:val="006C6B50"/>
    <w:rsid w:val="006F0D7B"/>
    <w:rsid w:val="00791238"/>
    <w:rsid w:val="008326FD"/>
    <w:rsid w:val="00AB0737"/>
    <w:rsid w:val="00E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F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F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9</cp:revision>
  <dcterms:created xsi:type="dcterms:W3CDTF">2015-02-23T11:45:00Z</dcterms:created>
  <dcterms:modified xsi:type="dcterms:W3CDTF">2015-05-01T10:58:00Z</dcterms:modified>
</cp:coreProperties>
</file>