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1A" w:rsidRPr="00DA0DE2" w:rsidRDefault="00C33C1A" w:rsidP="00C33C1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fa-IR"/>
        </w:rPr>
        <w:t xml:space="preserve">عودة، عبد القادر.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val="sv-SE"/>
        </w:rPr>
        <w:t>التشريع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val="sv-SE" w:bidi="fa-IR"/>
        </w:rPr>
        <w:t xml:space="preserve">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val="sv-SE"/>
        </w:rPr>
        <w:t>الجنائي الإسلامي مقارنا بالقانون الوضعي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. بيروت: دار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إحياء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التراث العربي، ١٩۸٥، مجلدان، ١٥٧٦ ص.</w:t>
      </w:r>
    </w:p>
    <w:p w:rsidR="00C33C1A" w:rsidRPr="00DA0DE2" w:rsidRDefault="00C33C1A" w:rsidP="00C33C1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C33C1A" w:rsidRPr="00DA0DE2" w:rsidRDefault="00C33C1A" w:rsidP="007B606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A0DE2">
        <w:rPr>
          <w:rFonts w:ascii="Times New Roman" w:hAnsi="Times New Roman" w:cs="Times New Roman"/>
          <w:sz w:val="24"/>
          <w:szCs w:val="24"/>
          <w:lang w:val="en-US"/>
        </w:rPr>
        <w:t>ʻAwda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ʻAbd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al-Qadir.</w:t>
      </w:r>
      <w:proofErr w:type="gram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Al-</w:t>
      </w:r>
      <w:proofErr w:type="spellStart"/>
      <w:proofErr w:type="gram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Tashr</w:t>
      </w:r>
      <w:r w:rsidR="007B6064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="007B60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‘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proofErr w:type="gram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Jinaʼi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Islami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="007B60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Muqaranan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bil-Qanun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Wad</w:t>
      </w:r>
      <w:r w:rsidR="007B6064">
        <w:rPr>
          <w:rFonts w:ascii="Times New Roman" w:hAnsi="Times New Roman" w:cs="Times New Roman"/>
          <w:i/>
          <w:iCs/>
          <w:sz w:val="24"/>
          <w:szCs w:val="24"/>
          <w:lang w:val="en-US"/>
        </w:rPr>
        <w:t>‘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0DE2">
        <w:rPr>
          <w:rFonts w:ascii="Times New Roman" w:hAnsi="Times New Roman" w:cs="Times New Roman"/>
          <w:sz w:val="24"/>
          <w:szCs w:val="24"/>
        </w:rPr>
        <w:t>Beirut: Da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>r ’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Ihia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r w:rsidRPr="00DA0DE2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DA0DE2">
        <w:rPr>
          <w:rFonts w:ascii="Times New Roman" w:hAnsi="Times New Roman" w:cs="Times New Roman"/>
          <w:sz w:val="24"/>
          <w:szCs w:val="24"/>
        </w:rPr>
        <w:t>Turath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al-‘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Arabi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>, 1985, 2 vols.</w:t>
      </w:r>
      <w:r w:rsidR="007B6064">
        <w:rPr>
          <w:rFonts w:ascii="Times New Roman" w:hAnsi="Times New Roman" w:cs="Times New Roman"/>
          <w:sz w:val="24"/>
          <w:szCs w:val="24"/>
        </w:rPr>
        <w:t>,</w:t>
      </w:r>
      <w:r w:rsidRPr="00DA0DE2">
        <w:rPr>
          <w:rFonts w:ascii="Times New Roman" w:hAnsi="Times New Roman" w:cs="Times New Roman"/>
          <w:sz w:val="24"/>
          <w:szCs w:val="24"/>
        </w:rPr>
        <w:t xml:space="preserve"> 1576</w:t>
      </w:r>
      <w:r w:rsidR="007B6064">
        <w:rPr>
          <w:rFonts w:ascii="Times New Roman" w:hAnsi="Times New Roman" w:cs="Times New Roman"/>
          <w:sz w:val="24"/>
          <w:szCs w:val="24"/>
        </w:rPr>
        <w:t>p</w:t>
      </w:r>
      <w:r w:rsidRPr="00DA0DE2">
        <w:rPr>
          <w:rFonts w:ascii="Times New Roman" w:hAnsi="Times New Roman" w:cs="Times New Roman"/>
          <w:sz w:val="24"/>
          <w:szCs w:val="24"/>
        </w:rPr>
        <w:t>p.</w:t>
      </w:r>
    </w:p>
    <w:p w:rsidR="00C33C1A" w:rsidRPr="00DA0DE2" w:rsidRDefault="00C33C1A" w:rsidP="00C33C1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33C1A" w:rsidRPr="00660A29" w:rsidRDefault="00C33C1A" w:rsidP="00C33C1A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</w:pPr>
      <w:r w:rsidRPr="00660A29"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  <w:t>ملخص</w:t>
      </w:r>
    </w:p>
    <w:p w:rsidR="00C33C1A" w:rsidRPr="00DA0DE2" w:rsidRDefault="00C33C1A" w:rsidP="00C33C1A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</w:pPr>
    </w:p>
    <w:p w:rsidR="00C33C1A" w:rsidRPr="00DA0DE2" w:rsidRDefault="00C33C1A" w:rsidP="00C33C1A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  <w:t>التشريع الجنائي الإسلامي مقارنا بالقانون الوضعي</w:t>
      </w:r>
    </w:p>
    <w:p w:rsidR="00C33C1A" w:rsidRPr="00DA0DE2" w:rsidRDefault="00C33C1A" w:rsidP="00C33C1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C33C1A" w:rsidRPr="00DA0DE2" w:rsidRDefault="00C33C1A" w:rsidP="00660A2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صدر كتاب </w:t>
      </w:r>
      <w:r w:rsidR="00660A29">
        <w:rPr>
          <w:rFonts w:ascii="Times New Roman" w:hAnsi="Times New Roman" w:cs="Times New Roman"/>
          <w:sz w:val="24"/>
          <w:szCs w:val="24"/>
          <w:rtl/>
          <w:lang w:val="sv-SE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التشريع الجنائي الإسلامي مقارنا بالقانون الوضعي</w:t>
      </w:r>
      <w:r w:rsidR="00660A29">
        <w:rPr>
          <w:rFonts w:ascii="Times New Roman" w:hAnsi="Times New Roman" w:cs="Times New Roman"/>
          <w:sz w:val="24"/>
          <w:szCs w:val="24"/>
          <w:rtl/>
          <w:lang w:val="sv-SE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للدكتور عبد القادر عودة عن دار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إحياء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التراث العربي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ببيروت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. و هو يتألف من مجلدين: الأول ۸١۸ صفحة، و الثاني  ٧٥۸ صفحة. </w:t>
      </w:r>
    </w:p>
    <w:p w:rsidR="00C33C1A" w:rsidRPr="00DA0DE2" w:rsidRDefault="00C33C1A" w:rsidP="00C33C1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C33C1A" w:rsidRPr="00DA0DE2" w:rsidRDefault="00C33C1A" w:rsidP="00660A2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يختص الكتاب بدراسة التشريع الجنائي ال</w:t>
      </w:r>
      <w:r w:rsidR="00660A29">
        <w:rPr>
          <w:rFonts w:ascii="Times New Roman" w:hAnsi="Times New Roman" w:cs="Times New Roman"/>
          <w:sz w:val="24"/>
          <w:szCs w:val="24"/>
          <w:rtl/>
          <w:lang w:val="sv-SE"/>
        </w:rPr>
        <w:t>إسلامي مقارنة بالقوانين الوضعية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و خاصة القانون المصري من خلال استعراض المبادئ و النظريات العامة في الشريعة و القانون، و بيان وجوه الوفاق و الخلاف بينهما. يركز المجلد الأول على مباحث القسم الجنائي العام، بينما يتناول المجلد الثاني القسم الجنائي الخاص. و العمل غير معني بتتبع تطور القوانين الوضعية عبر العصور، وإنما يقارن بين القانون في العصر الحالي و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بين الشريعة، كما أنه لم يعتمد في المقارنة على مذهب </w:t>
      </w:r>
      <w:r w:rsidR="00660A29">
        <w:rPr>
          <w:rFonts w:ascii="Times New Roman" w:hAnsi="Times New Roman" w:cs="Times New Roman" w:hint="cs"/>
          <w:sz w:val="24"/>
          <w:szCs w:val="24"/>
          <w:rtl/>
          <w:lang w:val="sv-SE"/>
        </w:rPr>
        <w:t>محدد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من مذاهب الفقه الإسلامي بل اعتمد على المذاهب السنية الأربعة المشهورة. </w:t>
      </w:r>
    </w:p>
    <w:p w:rsidR="00C33C1A" w:rsidRPr="00DA0DE2" w:rsidRDefault="00C33C1A" w:rsidP="00C33C1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C33C1A" w:rsidRPr="00DA0DE2" w:rsidRDefault="00C33C1A" w:rsidP="00C33C1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و يتمثل هدف الكاتب أساسا في تصحيح المفهوم الشائع بأن القسم الجنائي من الشريعة لايتفق مع العصر الحاضر و لا يصلح للتطبيق اليوم، و </w:t>
      </w:r>
      <w:r w:rsidR="00660A29"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في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بيان أن الشريعة تتفوق على القوانين الوضعية في المسائل الجنائية عامة.</w:t>
      </w:r>
    </w:p>
    <w:p w:rsidR="00C33C1A" w:rsidRPr="00DA0DE2" w:rsidRDefault="00C33C1A" w:rsidP="00C33C1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C33C1A" w:rsidRPr="00DA0DE2" w:rsidRDefault="00660A29" w:rsidP="00660A2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و </w:t>
      </w:r>
      <w:r w:rsidR="00C33C1A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بالنسبة لتنظيم الكتاب، 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فقد </w:t>
      </w:r>
      <w:r w:rsidR="00C33C1A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حرص المؤلف على تنظيمه و تبويبه على غرار كتب القانون لا على غرار أسلوب الفقهاء الذين يمزجون بين القسمين العام و الخاص، و قام بفصل هذين القسمين و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</w:t>
      </w:r>
      <w:r w:rsidR="00C33C1A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تناول أحكام كل منهما على حد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>ة</w:t>
      </w:r>
      <w:r w:rsidR="00C33C1A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.</w:t>
      </w:r>
    </w:p>
    <w:p w:rsidR="00C33C1A" w:rsidRPr="00DA0DE2" w:rsidRDefault="00C33C1A" w:rsidP="00C33C1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C33C1A" w:rsidRPr="00DA0DE2" w:rsidRDefault="00C33C1A" w:rsidP="00C33C1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lastRenderedPageBreak/>
        <w:t>ينقسم المجلد الأول بعد المقدمة إلى كتابين الأول عن الجريمة و الثاني عن العقوبة. يتكون الكتاب الأول من قسمين يختص الأول بالجريمة بشكل عام (ماهيتها، و أنواعها) و الثاني بأركان الجريمة (الشرعي، و المادي، و الأخلاقي). أما الكتاب الثاني الخاص بالعقوبة فيتفرع إلى ستة أبواب (مبادىء عامة، أقسام العقوبات، تعدد العقوبات، استيفاء العقوبات،  العود، سقوط العقوبات).</w:t>
      </w:r>
    </w:p>
    <w:p w:rsidR="00C33C1A" w:rsidRPr="00DA0DE2" w:rsidRDefault="00C33C1A" w:rsidP="00C33C1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C33C1A" w:rsidRPr="00DA0DE2" w:rsidRDefault="00C33C1A" w:rsidP="00C33C1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المجلد الثاني مقسم إلى بابين: في الجنايات، و جرائم الحدود. يتفرع الأول بدوره إلى ثلاثة فصول هي: في القتل، و الجناية على ما دون النفس، و الجناية على ماهو نفس من وجه دون وجه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(إجهاض الجنين)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؛ و الثاني إلى ستة فصول هي: الزنا، و القذف، و الشرب، و السرقة، و الحرابة، و البغي، و الردة.</w:t>
      </w:r>
      <w:r w:rsidR="00660A29"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و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يختتم المجلد الأول </w:t>
      </w:r>
      <w:r w:rsidR="00660A29"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من العمل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بقائمة للمراجع</w:t>
      </w:r>
      <w:r w:rsidR="00660A29">
        <w:rPr>
          <w:rFonts w:ascii="Times New Roman" w:hAnsi="Times New Roman" w:cs="Times New Roman" w:hint="cs"/>
          <w:sz w:val="24"/>
          <w:szCs w:val="24"/>
          <w:rtl/>
          <w:lang w:val="sv-SE"/>
        </w:rPr>
        <w:t>،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و لكن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معظمها يفتقر إلى بعض المعلومات التي قد يحتاجها القارىء للوصول إليها. </w:t>
      </w:r>
    </w:p>
    <w:p w:rsidR="00C33C1A" w:rsidRPr="00DA0DE2" w:rsidRDefault="00C33C1A" w:rsidP="00C33C1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C33C1A" w:rsidRPr="00DA0DE2" w:rsidRDefault="00C33C1A" w:rsidP="00660A2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العمل، بشكل عام، منسق بأسلوب حسن على الرغم من أنه مؤلف يرجع إلى النصف الأول من القرن الماضي. </w:t>
      </w:r>
      <w:r w:rsidR="00660A29"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و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أسلوب الكتاب سلس</w:t>
      </w:r>
      <w:r w:rsidR="00660A29"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قلما يجد القارىء غير المتخصص صعوبة في فهمه نظرا لحرص المؤلف على تجنب لغة ف</w:t>
      </w:r>
      <w:r w:rsidR="00660A29">
        <w:rPr>
          <w:rFonts w:ascii="Times New Roman" w:hAnsi="Times New Roman" w:cs="Times New Roman" w:hint="cs"/>
          <w:sz w:val="24"/>
          <w:szCs w:val="24"/>
          <w:rtl/>
          <w:lang w:val="sv-SE"/>
        </w:rPr>
        <w:t>ق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هاء الشريعة التي قد يستغلق على القارىء فهمها</w:t>
      </w:r>
      <w:r w:rsidR="00660A29">
        <w:rPr>
          <w:rFonts w:ascii="Times New Roman" w:hAnsi="Times New Roman" w:cs="Times New Roman" w:hint="cs"/>
          <w:sz w:val="24"/>
          <w:szCs w:val="24"/>
          <w:rtl/>
          <w:lang w:val="sv-SE"/>
        </w:rPr>
        <w:t>،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و تفضيله لاستخدام لغة سهلة يفهمها رجال القانون مع الاحتفاظ بالمصطلاحات الشرعية، أو ذكرها مع ذكر ما يقابلها في اللغة القانونية. </w:t>
      </w:r>
    </w:p>
    <w:p w:rsidR="00C33C1A" w:rsidRPr="00DA0DE2" w:rsidRDefault="00C33C1A" w:rsidP="00C33C1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C33C1A" w:rsidRPr="00DA0DE2" w:rsidRDefault="00C33C1A" w:rsidP="00660A2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إن هذا العمل يتميز بكونه مؤلفا لمتخصص متمرس في المجال شغل منصب قاض و</w:t>
      </w:r>
      <w:r w:rsidR="00660A29"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فقيه دستوري. و هو بلا شك مرجع قيم للمهتمين بمقارنة التشريع الجنائي الإسلامي بالقوانين الوضعية، و خاصة القانون المصري. </w:t>
      </w:r>
    </w:p>
    <w:p w:rsidR="00C33C1A" w:rsidRPr="00660A29" w:rsidRDefault="00C33C1A" w:rsidP="00C33C1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33C1A" w:rsidRPr="00DA0DE2" w:rsidRDefault="00C33C1A" w:rsidP="00C33C1A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داليا صبري</w:t>
      </w:r>
    </w:p>
    <w:sectPr w:rsidR="00C33C1A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B9"/>
    <w:rsid w:val="000071C0"/>
    <w:rsid w:val="00083E80"/>
    <w:rsid w:val="00660A29"/>
    <w:rsid w:val="006C6B50"/>
    <w:rsid w:val="00791238"/>
    <w:rsid w:val="007B6064"/>
    <w:rsid w:val="00C33C1A"/>
    <w:rsid w:val="00DB67B9"/>
    <w:rsid w:val="00F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2E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">
    <w:name w:val="postbody"/>
    <w:basedOn w:val="DefaultParagraphFont"/>
    <w:rsid w:val="00660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2E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">
    <w:name w:val="postbody"/>
    <w:basedOn w:val="DefaultParagraphFont"/>
    <w:rsid w:val="0066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62F4-FF61-47B9-A152-F49F9489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2334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2015-02-23T16:01:00Z</dcterms:created>
  <dcterms:modified xsi:type="dcterms:W3CDTF">2015-05-14T14:05:00Z</dcterms:modified>
</cp:coreProperties>
</file>