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A2" w:rsidRPr="003233A2" w:rsidRDefault="003233A2" w:rsidP="003233A2">
      <w:pPr>
        <w:spacing w:after="0" w:line="480" w:lineRule="auto"/>
        <w:rPr>
          <w:rFonts w:ascii="Times New Roman" w:hAnsi="Times New Roman" w:cs="Times New Roman"/>
          <w:bCs/>
          <w:sz w:val="24"/>
          <w:szCs w:val="24"/>
        </w:rPr>
      </w:pPr>
      <w:proofErr w:type="spellStart"/>
      <w:r w:rsidRPr="003233A2">
        <w:rPr>
          <w:rFonts w:ascii="Times New Roman" w:hAnsi="Times New Roman" w:cs="Times New Roman"/>
          <w:bCs/>
          <w:sz w:val="24"/>
          <w:szCs w:val="24"/>
        </w:rPr>
        <w:t>Karaman</w:t>
      </w:r>
      <w:proofErr w:type="spellEnd"/>
      <w:r w:rsidRPr="003233A2">
        <w:rPr>
          <w:rFonts w:ascii="Times New Roman" w:hAnsi="Times New Roman" w:cs="Times New Roman"/>
          <w:bCs/>
          <w:sz w:val="24"/>
          <w:szCs w:val="24"/>
        </w:rPr>
        <w:t xml:space="preserve">, </w:t>
      </w:r>
      <w:proofErr w:type="spellStart"/>
      <w:r w:rsidRPr="003233A2">
        <w:rPr>
          <w:rFonts w:ascii="Times New Roman" w:hAnsi="Times New Roman" w:cs="Times New Roman"/>
          <w:bCs/>
          <w:sz w:val="24"/>
          <w:szCs w:val="24"/>
        </w:rPr>
        <w:t>Hayreddin</w:t>
      </w:r>
      <w:proofErr w:type="spellEnd"/>
      <w:r w:rsidRPr="003233A2">
        <w:rPr>
          <w:rFonts w:ascii="Times New Roman" w:hAnsi="Times New Roman" w:cs="Times New Roman"/>
          <w:bCs/>
          <w:sz w:val="24"/>
          <w:szCs w:val="24"/>
        </w:rPr>
        <w:t xml:space="preserve">. </w:t>
      </w:r>
      <w:r w:rsidRPr="003233A2">
        <w:rPr>
          <w:rFonts w:ascii="Times New Roman" w:hAnsi="Times New Roman" w:cs="Times New Roman"/>
          <w:i/>
          <w:iCs/>
          <w:sz w:val="24"/>
          <w:szCs w:val="24"/>
          <w:lang w:val="tr-TR"/>
        </w:rPr>
        <w:t>Mukayeseli İslam Hukuku</w:t>
      </w:r>
      <w:r w:rsidRPr="003233A2">
        <w:rPr>
          <w:rFonts w:ascii="Times New Roman" w:hAnsi="Times New Roman" w:cs="Times New Roman"/>
          <w:bCs/>
          <w:sz w:val="24"/>
          <w:szCs w:val="24"/>
        </w:rPr>
        <w:t xml:space="preserve">. </w:t>
      </w:r>
      <w:r w:rsidRPr="003233A2">
        <w:rPr>
          <w:rFonts w:ascii="Times New Roman" w:hAnsi="Times New Roman" w:cs="Times New Roman"/>
          <w:bCs/>
          <w:sz w:val="24"/>
          <w:szCs w:val="24"/>
          <w:lang w:val="tr-TR"/>
        </w:rPr>
        <w:t>İ</w:t>
      </w:r>
      <w:proofErr w:type="spellStart"/>
      <w:r w:rsidRPr="003233A2">
        <w:rPr>
          <w:rFonts w:ascii="Times New Roman" w:hAnsi="Times New Roman" w:cs="Times New Roman"/>
          <w:bCs/>
          <w:sz w:val="24"/>
          <w:szCs w:val="24"/>
        </w:rPr>
        <w:t>stanbul</w:t>
      </w:r>
      <w:proofErr w:type="spellEnd"/>
      <w:r w:rsidRPr="003233A2">
        <w:rPr>
          <w:rFonts w:ascii="Times New Roman" w:hAnsi="Times New Roman" w:cs="Times New Roman"/>
          <w:bCs/>
          <w:sz w:val="24"/>
          <w:szCs w:val="24"/>
        </w:rPr>
        <w:t xml:space="preserve">: </w:t>
      </w:r>
      <w:r w:rsidRPr="003233A2">
        <w:rPr>
          <w:rFonts w:ascii="Times New Roman" w:hAnsi="Times New Roman" w:cs="Times New Roman"/>
          <w:bCs/>
          <w:sz w:val="24"/>
          <w:szCs w:val="24"/>
          <w:lang w:val="tr-TR"/>
        </w:rPr>
        <w:t>İ</w:t>
      </w:r>
      <w:r w:rsidRPr="003233A2">
        <w:rPr>
          <w:rFonts w:ascii="Times New Roman" w:hAnsi="Times New Roman" w:cs="Times New Roman"/>
          <w:bCs/>
          <w:sz w:val="24"/>
          <w:szCs w:val="24"/>
        </w:rPr>
        <w:t xml:space="preserve">Z </w:t>
      </w:r>
      <w:proofErr w:type="spellStart"/>
      <w:r w:rsidRPr="003233A2">
        <w:rPr>
          <w:rFonts w:ascii="Times New Roman" w:hAnsi="Times New Roman" w:cs="Times New Roman"/>
          <w:bCs/>
          <w:sz w:val="24"/>
          <w:szCs w:val="24"/>
        </w:rPr>
        <w:t>Yayıncılık</w:t>
      </w:r>
      <w:proofErr w:type="spellEnd"/>
      <w:r w:rsidRPr="003233A2">
        <w:rPr>
          <w:rFonts w:ascii="Times New Roman" w:hAnsi="Times New Roman" w:cs="Times New Roman"/>
          <w:bCs/>
          <w:sz w:val="24"/>
          <w:szCs w:val="24"/>
        </w:rPr>
        <w:t>, 2003, 3 v</w:t>
      </w:r>
      <w:r w:rsidRPr="003233A2">
        <w:rPr>
          <w:rFonts w:ascii="Times New Roman" w:hAnsi="Times New Roman" w:cs="Times New Roman"/>
          <w:sz w:val="24"/>
          <w:szCs w:val="24"/>
          <w:lang w:val="tr-TR"/>
        </w:rPr>
        <w:t>ols.</w:t>
      </w:r>
      <w:r w:rsidRPr="003233A2">
        <w:rPr>
          <w:rFonts w:ascii="Times New Roman" w:hAnsi="Times New Roman" w:cs="Times New Roman"/>
          <w:bCs/>
          <w:sz w:val="24"/>
          <w:szCs w:val="24"/>
        </w:rPr>
        <w:t>, 1605pp</w:t>
      </w:r>
      <w:r w:rsidRPr="003233A2">
        <w:rPr>
          <w:rFonts w:ascii="Times New Roman" w:hAnsi="Times New Roman" w:cs="Times New Roman" w:hint="cs"/>
          <w:bCs/>
          <w:sz w:val="24"/>
          <w:szCs w:val="24"/>
          <w:rtl/>
        </w:rPr>
        <w:t>.</w:t>
      </w:r>
    </w:p>
    <w:p w:rsidR="007D29E5" w:rsidRPr="003421A9" w:rsidRDefault="007D29E5" w:rsidP="007D29E5">
      <w:pPr>
        <w:spacing w:after="0" w:line="480" w:lineRule="auto"/>
        <w:rPr>
          <w:rFonts w:ascii="Times New Roman" w:hAnsi="Times New Roman" w:cs="Times New Roman"/>
          <w:sz w:val="24"/>
          <w:szCs w:val="24"/>
          <w:lang w:val="tr-TR"/>
        </w:rPr>
      </w:pPr>
    </w:p>
    <w:p w:rsidR="007D29E5" w:rsidRPr="003233A2" w:rsidRDefault="007D29E5" w:rsidP="007D29E5">
      <w:pPr>
        <w:spacing w:after="0" w:line="480" w:lineRule="auto"/>
        <w:jc w:val="center"/>
        <w:rPr>
          <w:rFonts w:ascii="Times New Roman" w:hAnsi="Times New Roman" w:cs="Times New Roman"/>
          <w:b/>
          <w:bCs/>
          <w:iCs/>
          <w:sz w:val="24"/>
          <w:szCs w:val="24"/>
          <w:lang w:val="tr-TR"/>
        </w:rPr>
      </w:pPr>
      <w:r w:rsidRPr="003233A2">
        <w:rPr>
          <w:rFonts w:ascii="Times New Roman" w:hAnsi="Times New Roman" w:cs="Times New Roman"/>
          <w:b/>
          <w:bCs/>
          <w:iCs/>
          <w:sz w:val="24"/>
          <w:szCs w:val="24"/>
          <w:lang w:val="tr-TR"/>
        </w:rPr>
        <w:t>ABSTRACT</w:t>
      </w:r>
    </w:p>
    <w:p w:rsidR="007D29E5" w:rsidRPr="003421A9" w:rsidRDefault="007D29E5" w:rsidP="007D29E5">
      <w:pPr>
        <w:spacing w:after="0" w:line="480" w:lineRule="auto"/>
        <w:jc w:val="center"/>
        <w:rPr>
          <w:rFonts w:ascii="Times New Roman" w:hAnsi="Times New Roman" w:cs="Times New Roman"/>
          <w:b/>
          <w:bCs/>
          <w:iCs/>
          <w:sz w:val="24"/>
          <w:szCs w:val="24"/>
          <w:lang w:val="tr-TR"/>
        </w:rPr>
      </w:pPr>
    </w:p>
    <w:p w:rsidR="007D29E5" w:rsidRPr="003421A9" w:rsidRDefault="007D29E5" w:rsidP="007D29E5">
      <w:pPr>
        <w:spacing w:after="0" w:line="480" w:lineRule="auto"/>
        <w:jc w:val="center"/>
        <w:rPr>
          <w:rFonts w:ascii="Times New Roman" w:hAnsi="Times New Roman" w:cs="Times New Roman"/>
          <w:b/>
          <w:i/>
          <w:sz w:val="24"/>
          <w:szCs w:val="24"/>
          <w:lang w:val="tr-TR"/>
        </w:rPr>
      </w:pPr>
      <w:r w:rsidRPr="003421A9">
        <w:rPr>
          <w:rFonts w:ascii="Times New Roman" w:hAnsi="Times New Roman" w:cs="Times New Roman"/>
          <w:b/>
          <w:sz w:val="24"/>
          <w:szCs w:val="24"/>
        </w:rPr>
        <w:t>Comparative Islamic Law</w:t>
      </w:r>
    </w:p>
    <w:p w:rsidR="007D29E5" w:rsidRPr="003C1272" w:rsidRDefault="007D29E5" w:rsidP="007D29E5">
      <w:pPr>
        <w:spacing w:after="0" w:line="480" w:lineRule="auto"/>
        <w:jc w:val="center"/>
        <w:rPr>
          <w:rFonts w:ascii="Times New Roman" w:hAnsi="Times New Roman" w:cs="Times New Roman"/>
          <w:bCs/>
          <w:iCs/>
          <w:sz w:val="24"/>
          <w:szCs w:val="24"/>
          <w:lang w:val="tr-TR"/>
        </w:rPr>
      </w:pPr>
    </w:p>
    <w:p w:rsidR="007D29E5" w:rsidRPr="003421A9" w:rsidRDefault="007D29E5" w:rsidP="007D29E5">
      <w:pPr>
        <w:spacing w:after="0" w:line="480" w:lineRule="auto"/>
        <w:jc w:val="center"/>
        <w:rPr>
          <w:rFonts w:ascii="Times New Roman" w:hAnsi="Times New Roman" w:cs="Times New Roman"/>
          <w:i/>
          <w:iCs/>
          <w:sz w:val="24"/>
          <w:szCs w:val="24"/>
          <w:lang w:val="tr-TR"/>
        </w:rPr>
      </w:pPr>
      <w:r w:rsidRPr="003421A9">
        <w:rPr>
          <w:rFonts w:ascii="Times New Roman" w:hAnsi="Times New Roman" w:cs="Times New Roman"/>
          <w:i/>
          <w:iCs/>
          <w:sz w:val="24"/>
          <w:szCs w:val="24"/>
          <w:lang w:val="tr-TR"/>
        </w:rPr>
        <w:t>Mukayeseli İslam Hukuku</w:t>
      </w:r>
    </w:p>
    <w:p w:rsidR="007D29E5" w:rsidRPr="003421A9" w:rsidRDefault="007D29E5" w:rsidP="007D29E5">
      <w:pPr>
        <w:spacing w:after="0" w:line="480" w:lineRule="auto"/>
        <w:jc w:val="both"/>
        <w:rPr>
          <w:rFonts w:ascii="Times New Roman" w:hAnsi="Times New Roman" w:cs="Times New Roman"/>
          <w:bCs/>
          <w:i/>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As </w:t>
      </w:r>
      <w:proofErr w:type="spellStart"/>
      <w:r w:rsidRPr="003421A9">
        <w:rPr>
          <w:rFonts w:ascii="Times New Roman" w:hAnsi="Times New Roman" w:cs="Times New Roman"/>
          <w:bCs/>
          <w:sz w:val="24"/>
          <w:szCs w:val="24"/>
        </w:rPr>
        <w:t>Hayreddin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Karaman</w:t>
      </w:r>
      <w:proofErr w:type="spellEnd"/>
      <w:r w:rsidRPr="003421A9">
        <w:rPr>
          <w:rFonts w:ascii="Times New Roman" w:hAnsi="Times New Roman" w:cs="Times New Roman"/>
          <w:bCs/>
          <w:sz w:val="24"/>
          <w:szCs w:val="24"/>
        </w:rPr>
        <w:t xml:space="preserve"> points out, </w:t>
      </w:r>
      <w:r w:rsidRPr="003421A9">
        <w:rPr>
          <w:rFonts w:ascii="Times New Roman" w:hAnsi="Times New Roman" w:cs="Times New Roman"/>
          <w:bCs/>
          <w:sz w:val="24"/>
          <w:szCs w:val="24"/>
          <w:lang w:val="tr-TR"/>
        </w:rPr>
        <w:t xml:space="preserve">Islamic law is the source of many scientific works and legal systems, yet a limited amount of literature exists about this field. This work is Karaman’s attempt to contribute. To introduce Islamic law to Turkish lawyers and to appeal to a wider audience, he has used a comparative method, whereby he compares Turkish with Islamic law. </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In the introduction to the first volume, Karaman provides definitions of religion, morality and law and their relationships. He also classifies Islamic law and compares it with Roman law. Following the introduction, he explores the development of Islamic law, Islamic constitutional law, Islamic criminal law, the law of persons, family law, and inheritance law. By the end of this volume, Karaman has provided a detailed comparison between Islamic inheritance law and the provisions in Turkish civil code that relate to inheritance law.</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 xml:space="preserve">The second volume focuses on the law of obligations. Whilst preparing this volume, Karaman considered the works of Islamic scholars such as Es-Senhuri, el-Mahsani, ez-Zerqa and M. Yusüf Musa. In researching the Turkish law of obligations, he also referred to </w:t>
      </w:r>
      <w:r w:rsidRPr="003421A9">
        <w:rPr>
          <w:rFonts w:ascii="Times New Roman" w:hAnsi="Times New Roman" w:cs="Times New Roman"/>
          <w:bCs/>
          <w:sz w:val="24"/>
          <w:szCs w:val="24"/>
          <w:lang w:val="tr-TR"/>
        </w:rPr>
        <w:lastRenderedPageBreak/>
        <w:t>Birsen’s work. The introduction to this volume explores the significance of the law of obligations, how Islamic law has been codified in Turkish, and the laws of various Islamic countries. Following the introduction, Karaman examines one-sided consent, contracts, law, unjust enrichment, torts, the discharge of debt, types of debt and devolution of debt.</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 xml:space="preserve">The third volume focuses on “real law” and private international law. The first section provides a definition of the concept of real law, a definition and classification of goods, and a comparision of Turkish and Islamic law systems within these fields. Karaman goes on to discuss ownership, as one of the primary rights in rem, and secondary rights in rem, such as pledges, right of retention, mortgages, “buyback” agreements, sale based on the condition of rent, and right of possession. The second section explores nationality, political rights, other rights and obligations, international civil procedure law, and international criminal law. </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Finally, within the framework of private international law, Karaman discusses family law, the law of persons, inheritance law and financial transactions between Muslims and non-Muslims.</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7D29E5" w:rsidRPr="003421A9" w:rsidRDefault="007D29E5" w:rsidP="007D29E5">
      <w:pPr>
        <w:spacing w:after="0" w:line="480" w:lineRule="auto"/>
        <w:jc w:val="both"/>
        <w:rPr>
          <w:rFonts w:ascii="Times New Roman" w:hAnsi="Times New Roman" w:cs="Times New Roman"/>
          <w:bCs/>
          <w:sz w:val="24"/>
          <w:szCs w:val="24"/>
          <w:lang w:val="tr-TR"/>
        </w:rPr>
      </w:pPr>
      <w:r w:rsidRPr="003421A9">
        <w:rPr>
          <w:rFonts w:ascii="Times New Roman" w:hAnsi="Times New Roman" w:cs="Times New Roman"/>
          <w:bCs/>
          <w:sz w:val="24"/>
          <w:szCs w:val="24"/>
          <w:lang w:val="tr-TR"/>
        </w:rPr>
        <w:t>Overall, Karaman’s writing is simple; however, in some sections the language is complex. An index, a bibliography and a table of contents are provided with each volume. As Karaman has explored a large variety of subjects, he has not provided an in-depth comparision and discussion of all subjects. The work has the feel of a compilation. Nevertheless, it is recommended to academics, particularly Turkish lawyers, who have a general interest in Islamic law.</w:t>
      </w:r>
    </w:p>
    <w:p w:rsidR="007D29E5" w:rsidRPr="003421A9" w:rsidRDefault="007D29E5" w:rsidP="007D29E5">
      <w:pPr>
        <w:spacing w:after="0" w:line="480" w:lineRule="auto"/>
        <w:jc w:val="both"/>
        <w:rPr>
          <w:rFonts w:ascii="Times New Roman" w:hAnsi="Times New Roman" w:cs="Times New Roman"/>
          <w:bCs/>
          <w:sz w:val="24"/>
          <w:szCs w:val="24"/>
          <w:lang w:val="tr-TR"/>
        </w:rPr>
      </w:pPr>
    </w:p>
    <w:p w:rsidR="009A0E2D" w:rsidRDefault="007D29E5" w:rsidP="00221F1A">
      <w:pPr>
        <w:spacing w:after="0" w:line="480" w:lineRule="auto"/>
        <w:jc w:val="right"/>
      </w:pP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r>
      <w:r w:rsidRPr="003421A9">
        <w:rPr>
          <w:rFonts w:ascii="Times New Roman" w:hAnsi="Times New Roman" w:cs="Times New Roman"/>
          <w:bCs/>
          <w:sz w:val="24"/>
          <w:szCs w:val="24"/>
          <w:lang w:val="tr-TR"/>
        </w:rPr>
        <w:tab/>
        <w:t>Ayşem Diker Vanberg</w:t>
      </w:r>
      <w:bookmarkStart w:id="0" w:name="_GoBack"/>
      <w:bookmarkEnd w:id="0"/>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2C"/>
    <w:rsid w:val="000071C0"/>
    <w:rsid w:val="00083E80"/>
    <w:rsid w:val="00221F1A"/>
    <w:rsid w:val="003233A2"/>
    <w:rsid w:val="006C6B50"/>
    <w:rsid w:val="00791238"/>
    <w:rsid w:val="007D29E5"/>
    <w:rsid w:val="00CE4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2015-02-23T15:11:00Z</dcterms:created>
  <dcterms:modified xsi:type="dcterms:W3CDTF">2015-06-12T09:47:00Z</dcterms:modified>
</cp:coreProperties>
</file>