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محمد، عبد العزيز. </w:t>
      </w:r>
      <w:r w:rsidRPr="00DA0DE2">
        <w:rPr>
          <w:rFonts w:ascii="Times New Roman" w:hAnsi="Times New Roman" w:cs="Times New Roman"/>
          <w:iCs/>
          <w:sz w:val="24"/>
          <w:szCs w:val="24"/>
          <w:rtl/>
        </w:rPr>
        <w:t>الفتوة في المفهوم الإسلامي: دراسة في الأخلاق الإسلامية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. الإسكندرية: دار الوفاء للطباعة و النشر و التوزيع، 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EG"/>
        </w:rPr>
        <w:t xml:space="preserve">١۹۹۸، ۲٦٤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ص.</w:t>
      </w:r>
    </w:p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896FB3" w:rsidRPr="00DA0DE2" w:rsidRDefault="00896FB3" w:rsidP="008F4292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A0DE2">
        <w:rPr>
          <w:rFonts w:ascii="Times New Roman" w:hAnsi="Times New Roman" w:cs="Times New Roman"/>
          <w:iCs/>
          <w:sz w:val="24"/>
          <w:szCs w:val="24"/>
          <w:lang w:val="en-US"/>
        </w:rPr>
        <w:t>Muhammad, ‘Abd Al-‘Aziz</w:t>
      </w:r>
      <w:r w:rsidRPr="00DA0DE2">
        <w:rPr>
          <w:rFonts w:ascii="Times New Roman" w:hAnsi="Times New Roman" w:cs="Times New Roman"/>
          <w:iCs/>
          <w:sz w:val="24"/>
          <w:szCs w:val="24"/>
        </w:rPr>
        <w:t>.</w:t>
      </w:r>
      <w:r w:rsidRPr="00DA0D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>Al-Futuwwa</w:t>
      </w:r>
      <w:r w:rsidR="008F429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fi al-Mafhum al-Islami: Dirasa</w:t>
      </w:r>
      <w:r w:rsidR="008F429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fi al-Akhlaq al-Islamiyya</w:t>
      </w:r>
      <w:r w:rsidR="008F429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A0D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A0DE2">
        <w:rPr>
          <w:rFonts w:ascii="Times New Roman" w:hAnsi="Times New Roman" w:cs="Times New Roman"/>
          <w:iCs/>
          <w:sz w:val="24"/>
          <w:szCs w:val="24"/>
        </w:rPr>
        <w:t>Alexandria: Dar al-Wafa’ lil-Tiba‘a</w:t>
      </w:r>
      <w:r w:rsidR="008F4292">
        <w:rPr>
          <w:rFonts w:ascii="Times New Roman" w:hAnsi="Times New Roman" w:cs="Times New Roman"/>
          <w:iCs/>
          <w:sz w:val="24"/>
          <w:szCs w:val="24"/>
        </w:rPr>
        <w:t>h</w:t>
      </w:r>
      <w:r w:rsidRPr="00DA0DE2">
        <w:rPr>
          <w:rFonts w:ascii="Times New Roman" w:hAnsi="Times New Roman" w:cs="Times New Roman"/>
          <w:iCs/>
          <w:sz w:val="24"/>
          <w:szCs w:val="24"/>
        </w:rPr>
        <w:t xml:space="preserve"> wa al-Nashr wa al-Tawzi‘, 1998, 264</w:t>
      </w:r>
      <w:r w:rsidR="008F4292">
        <w:rPr>
          <w:rFonts w:ascii="Times New Roman" w:hAnsi="Times New Roman" w:cs="Times New Roman"/>
          <w:iCs/>
          <w:sz w:val="24"/>
          <w:szCs w:val="24"/>
        </w:rPr>
        <w:t>pp</w:t>
      </w:r>
      <w:r w:rsidRPr="00DA0DE2">
        <w:rPr>
          <w:rFonts w:ascii="Times New Roman" w:hAnsi="Times New Roman" w:cs="Times New Roman"/>
          <w:iCs/>
          <w:sz w:val="24"/>
          <w:szCs w:val="24"/>
        </w:rPr>
        <w:t>.</w:t>
      </w:r>
      <w:r w:rsidRPr="00DA0D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896FB3" w:rsidRPr="002D6668" w:rsidRDefault="00896FB3" w:rsidP="00896FB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  <w:bookmarkStart w:id="0" w:name="_GoBack"/>
      <w:r w:rsidRPr="002D6668"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  <w:t>ملخص</w:t>
      </w:r>
    </w:p>
    <w:bookmarkEnd w:id="0"/>
    <w:p w:rsidR="00896FB3" w:rsidRPr="00DA0DE2" w:rsidRDefault="00896FB3" w:rsidP="00896FB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</w:p>
    <w:p w:rsidR="00896FB3" w:rsidRPr="00DA0DE2" w:rsidRDefault="00896FB3" w:rsidP="00896FB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</w:rPr>
        <w:t>الفتوة في المفهوم الإسلامي: دراسة في الأخلاق الإسلامية</w:t>
      </w:r>
    </w:p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يتناول هذا العمل بشكل عام السمات الأخلاقية و المعنوية للفتوة في المفهوم الإسلامي بالإضافة لسماتها المادية أيضا. 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EG"/>
        </w:rPr>
        <w:t xml:space="preserve">و الكتاب للدكتور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عبد العزيز محمد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EG"/>
        </w:rPr>
        <w:t xml:space="preserve">، من إصدارات دار الوفاء لدنيا الطباعة و النشر عام ١۹۹۸، و عدد صفحاته ۲٦٤، و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يتألف من مقدمة، و خمسة فصول، و خاتمة.   </w:t>
      </w:r>
    </w:p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896FB3" w:rsidRPr="00DA0DE2" w:rsidRDefault="00896FB3" w:rsidP="00C92EEC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يشرح المؤلف في المقدمة المعنى الأصلي لكلمة </w:t>
      </w:r>
      <w:r w:rsidR="00C92EEC">
        <w:rPr>
          <w:rFonts w:ascii="Times New Roman" w:hAnsi="Times New Roman" w:cs="Times New Roman"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الفتوة</w:t>
      </w:r>
      <w:r w:rsidR="00C92EEC">
        <w:rPr>
          <w:rFonts w:ascii="Times New Roman" w:hAnsi="Times New Roman" w:cs="Times New Roman"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في اللغة بالإضافة إلى المعاني التي شاعت فيما بعد،  ثم ينتقل إلى تقديم المحاور التي يتناولها في كل فصل من الفصول بإيجاز. و يناقش في الفصلين الأولين مفهوم  الفتوة في العصر الجاهلي، و المنظور الإسلامي لها كما ورد في كتاب الله عز و جل. و الفصل الثالث مخصص لاستعراض نماذج من فتيان المسلمين (أبو بكر الصديق، عمر بن الخطاب، عثمان بن عفان، علي بن أبي طالب، و غيرهم). و يعالج الفصل الرابع مفهوم الفتوة في المدارس الصوفية (مدرسة البصرة، مدرسة الكوفة، و غيرها) موضحا المصدر الذي استقت منه الصوفية فتوتها. أما الفصل الخامس، فيبحث في الصلة بين الفتوة العربية و مفهوم </w:t>
      </w:r>
      <w:r w:rsidR="008F4292">
        <w:rPr>
          <w:rFonts w:ascii="Times New Roman" w:hAnsi="Times New Roman" w:cs="Times New Roman"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الفروسية</w:t>
      </w:r>
      <w:r w:rsidR="008F4292">
        <w:rPr>
          <w:rFonts w:ascii="Times New Roman" w:hAnsi="Times New Roman" w:cs="Times New Roman"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الغربية لمعرفة مدى تأثر الأخيرة بسمات و خصال الأولى. و أخيرا يلخص المؤلف في الخاتمة خلاصة ما توصل إليه من الدراسة.</w:t>
      </w:r>
    </w:p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يتميز الكتاب ببساطة أسلوبه و وضوح طباعته بشكل عام، و لكن يعاب عليه وجود أخطاء مطبعية، و إملائية، و أسلوبية، و أخطاء في استخدام علامات الترقيم، مما يدل على أنه لم يلق المراجعة اللازمة قبل نشره. </w:t>
      </w:r>
    </w:p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lastRenderedPageBreak/>
        <w:t>اعتمد المؤلف في تجميع مادة الكتاب على أربعة و ستين مرجعا عربيا بالإضافة إلى أربعة مراجع أجنبية تم ثبتها في الهوامش الختامية الموجودة في نهاية كل فصل و قائمة المراجع الموجودة في نهاية الكتاب. و يتضح من مراجعة عناوين تلك المراجع أنه باستثناء أربعة أو خمسة منها، جميع تلك المصادر لا تتناول موضوع الفتوة في الإسلام بشكل مباشر. و من ثم يحسب لمؤلف هذا العمل إسهامه في إلقاء الضوء على موضوع تندر الدراسات التي خصصت لتناوله.</w:t>
      </w:r>
    </w:p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96FB3" w:rsidRPr="00DA0DE2" w:rsidRDefault="00896FB3" w:rsidP="00896FB3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>داليا صبري</w:t>
      </w:r>
    </w:p>
    <w:sectPr w:rsidR="00896FB3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54"/>
    <w:rsid w:val="000071C0"/>
    <w:rsid w:val="00083E80"/>
    <w:rsid w:val="002D6668"/>
    <w:rsid w:val="00405868"/>
    <w:rsid w:val="006C6B50"/>
    <w:rsid w:val="00791238"/>
    <w:rsid w:val="00896FB3"/>
    <w:rsid w:val="008F4292"/>
    <w:rsid w:val="00C92EEC"/>
    <w:rsid w:val="00D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68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68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2015-02-23T13:13:00Z</dcterms:created>
  <dcterms:modified xsi:type="dcterms:W3CDTF">2015-05-01T11:07:00Z</dcterms:modified>
</cp:coreProperties>
</file>