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F8" w:rsidRPr="00DA0DE2" w:rsidRDefault="000B3CF8" w:rsidP="00A530CE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  <w:bookmarkStart w:id="0" w:name="_GoBack"/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محمد، الصديق أبو الحسن. </w:t>
      </w:r>
      <w:r w:rsidRPr="00DA0DE2">
        <w:rPr>
          <w:rFonts w:ascii="Times New Roman" w:hAnsi="Times New Roman" w:cs="Times New Roman"/>
          <w:iCs/>
          <w:sz w:val="24"/>
          <w:szCs w:val="24"/>
          <w:rtl/>
        </w:rPr>
        <w:t xml:space="preserve">حق الدفاع الشرعي </w:t>
      </w:r>
      <w:r w:rsidR="00A530CE">
        <w:rPr>
          <w:rFonts w:ascii="Times New Roman" w:hAnsi="Times New Roman" w:cs="Times New Roman"/>
          <w:iCs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iCs/>
          <w:sz w:val="24"/>
          <w:szCs w:val="24"/>
          <w:rtl/>
        </w:rPr>
        <w:t>الخاص</w:t>
      </w:r>
      <w:r w:rsidR="00A530CE">
        <w:rPr>
          <w:rFonts w:ascii="Times New Roman" w:hAnsi="Times New Roman" w:cs="Times New Roman"/>
          <w:iCs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iCs/>
          <w:sz w:val="24"/>
          <w:szCs w:val="24"/>
          <w:rtl/>
        </w:rPr>
        <w:t>: دراسة مقارنة بالقانون الوضعي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. القاهرة: دار التوفيق النموذجية للطباعة، ۱۹۹۲، ۲٣۹ ص. </w:t>
      </w:r>
    </w:p>
    <w:p w:rsidR="000B3CF8" w:rsidRPr="00DA0DE2" w:rsidRDefault="000B3CF8" w:rsidP="000B3CF8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</w:p>
    <w:p w:rsidR="000B3CF8" w:rsidRPr="00DA0DE2" w:rsidRDefault="000B3CF8" w:rsidP="00F70CA4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  <w:lang w:bidi="fa-IR"/>
        </w:rPr>
      </w:pPr>
      <w:proofErr w:type="gramStart"/>
      <w:r w:rsidRPr="00DA0DE2">
        <w:rPr>
          <w:rFonts w:ascii="Times New Roman" w:hAnsi="Times New Roman" w:cs="Times New Roman"/>
          <w:iCs/>
          <w:sz w:val="24"/>
          <w:szCs w:val="24"/>
          <w:lang w:val="en-US"/>
        </w:rPr>
        <w:t>Muhammad, al-</w:t>
      </w:r>
      <w:proofErr w:type="spellStart"/>
      <w:r w:rsidRPr="00DA0DE2">
        <w:rPr>
          <w:rFonts w:ascii="Times New Roman" w:hAnsi="Times New Roman" w:cs="Times New Roman"/>
          <w:iCs/>
          <w:sz w:val="24"/>
          <w:szCs w:val="24"/>
          <w:lang w:val="en-US"/>
        </w:rPr>
        <w:t>Siddiq</w:t>
      </w:r>
      <w:proofErr w:type="spellEnd"/>
      <w:r w:rsidRPr="00DA0DE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Abu al-Hasan</w:t>
      </w:r>
      <w:r w:rsidRPr="00DA0DE2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Haqq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Difaʻ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Sharʻi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"al-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Khass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":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Dirasa</w:t>
      </w:r>
      <w:r w:rsidR="00F70CA4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Muqarana</w:t>
      </w:r>
      <w:r w:rsidR="00F70CA4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bil-Qanun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Wadʻi</w:t>
      </w:r>
      <w:proofErr w:type="spellEnd"/>
      <w:r w:rsidRPr="00DA0D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DA0DE2">
        <w:rPr>
          <w:rFonts w:ascii="Times New Roman" w:hAnsi="Times New Roman" w:cs="Times New Roman"/>
          <w:iCs/>
          <w:sz w:val="24"/>
          <w:szCs w:val="24"/>
          <w:lang w:val="en-US"/>
        </w:rPr>
        <w:t>Cairo: Dar al-</w:t>
      </w:r>
      <w:proofErr w:type="spellStart"/>
      <w:r w:rsidRPr="00DA0DE2">
        <w:rPr>
          <w:rFonts w:ascii="Times New Roman" w:hAnsi="Times New Roman" w:cs="Times New Roman"/>
          <w:iCs/>
          <w:sz w:val="24"/>
          <w:szCs w:val="24"/>
          <w:lang w:val="en-US"/>
        </w:rPr>
        <w:t>Tawfiq</w:t>
      </w:r>
      <w:proofErr w:type="spellEnd"/>
      <w:r w:rsidRPr="00DA0DE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al-</w:t>
      </w:r>
      <w:proofErr w:type="spellStart"/>
      <w:r w:rsidRPr="00DA0DE2">
        <w:rPr>
          <w:rFonts w:ascii="Times New Roman" w:hAnsi="Times New Roman" w:cs="Times New Roman"/>
          <w:iCs/>
          <w:sz w:val="24"/>
          <w:szCs w:val="24"/>
          <w:lang w:val="en-US"/>
        </w:rPr>
        <w:t>Namwdhajiyya</w:t>
      </w:r>
      <w:r w:rsidR="00F70CA4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proofErr w:type="spellEnd"/>
      <w:r w:rsidRPr="00DA0DE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Cs/>
          <w:sz w:val="24"/>
          <w:szCs w:val="24"/>
          <w:lang w:val="en-US"/>
        </w:rPr>
        <w:t>lil-Tiba‘a</w:t>
      </w:r>
      <w:r w:rsidR="00F70CA4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proofErr w:type="spellEnd"/>
      <w:r w:rsidRPr="00DA0DE2">
        <w:rPr>
          <w:rFonts w:ascii="Times New Roman" w:hAnsi="Times New Roman" w:cs="Times New Roman"/>
          <w:iCs/>
          <w:sz w:val="24"/>
          <w:szCs w:val="24"/>
          <w:lang w:val="en-US"/>
        </w:rPr>
        <w:t>, 1992, 239</w:t>
      </w:r>
      <w:r w:rsidR="00F70CA4">
        <w:rPr>
          <w:rFonts w:ascii="Times New Roman" w:hAnsi="Times New Roman" w:cs="Times New Roman"/>
          <w:iCs/>
          <w:sz w:val="24"/>
          <w:szCs w:val="24"/>
          <w:lang w:val="en-US"/>
        </w:rPr>
        <w:t>pp</w:t>
      </w:r>
      <w:r w:rsidRPr="00DA0DE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bookmarkEnd w:id="0"/>
    <w:p w:rsidR="000B3CF8" w:rsidRPr="00DA0DE2" w:rsidRDefault="000B3CF8" w:rsidP="000B3CF8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  <w:lang w:bidi="fa-IR"/>
        </w:rPr>
      </w:pPr>
    </w:p>
    <w:p w:rsidR="000B3CF8" w:rsidRPr="005E4650" w:rsidRDefault="000B3CF8" w:rsidP="000B3CF8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</w:rPr>
      </w:pPr>
      <w:r w:rsidRPr="005E4650">
        <w:rPr>
          <w:rFonts w:ascii="Times New Roman" w:hAnsi="Times New Roman" w:cs="Times New Roman"/>
          <w:b/>
          <w:bCs/>
          <w:i/>
          <w:sz w:val="24"/>
          <w:szCs w:val="24"/>
          <w:rtl/>
        </w:rPr>
        <w:t>ملخص</w:t>
      </w:r>
    </w:p>
    <w:p w:rsidR="000B3CF8" w:rsidRPr="00DA0DE2" w:rsidRDefault="000B3CF8" w:rsidP="000B3CF8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</w:rPr>
      </w:pPr>
    </w:p>
    <w:p w:rsidR="000B3CF8" w:rsidRPr="00DA0DE2" w:rsidRDefault="000B3CF8" w:rsidP="00A530CE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bCs/>
          <w:i/>
          <w:sz w:val="24"/>
          <w:szCs w:val="24"/>
          <w:rtl/>
        </w:rPr>
        <w:t xml:space="preserve">حق الدفاع الشرعي </w:t>
      </w:r>
      <w:r w:rsidR="00A530CE">
        <w:rPr>
          <w:rFonts w:ascii="Times New Roman" w:hAnsi="Times New Roman" w:cs="Times New Roman"/>
          <w:b/>
          <w:bCs/>
          <w:i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b/>
          <w:bCs/>
          <w:i/>
          <w:sz w:val="24"/>
          <w:szCs w:val="24"/>
          <w:rtl/>
        </w:rPr>
        <w:t>الخاص</w:t>
      </w:r>
      <w:r w:rsidR="00A530CE">
        <w:rPr>
          <w:rFonts w:ascii="Times New Roman" w:hAnsi="Times New Roman" w:cs="Times New Roman"/>
          <w:b/>
          <w:bCs/>
          <w:i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b/>
          <w:bCs/>
          <w:i/>
          <w:sz w:val="24"/>
          <w:szCs w:val="24"/>
          <w:rtl/>
        </w:rPr>
        <w:t>: دراسة مقارنة بالقانون الوضعي</w:t>
      </w:r>
    </w:p>
    <w:p w:rsidR="000B3CF8" w:rsidRPr="00DA0DE2" w:rsidRDefault="000B3CF8" w:rsidP="000B3CF8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B3CF8" w:rsidRPr="00DA0DE2" w:rsidRDefault="000B3CF8" w:rsidP="000B3CF8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</w:rPr>
        <w:t>مؤلف الكتاب هو الصديق أبو الحسن محمد، قاضي الاستئناف بالمحاكم السودانية، و يعتمد كتابه هذا على ال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>أطروحة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 التي قدمها لنيل درجة الماجستير عام ۱۹٧۸ بعد حذف بعض الجزئيات. </w:t>
      </w:r>
    </w:p>
    <w:p w:rsidR="000B3CF8" w:rsidRPr="00DA0DE2" w:rsidRDefault="000B3CF8" w:rsidP="000B3CF8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</w:p>
    <w:p w:rsidR="000B3CF8" w:rsidRPr="00DA0DE2" w:rsidRDefault="000B3CF8" w:rsidP="00915DC5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يستهل المؤلف عمله بتوضيح المقصود بحق الدفاع الشرعي الخاص الذي يشير إلى حق المعتدى عليهم في </w:t>
      </w:r>
      <w:r w:rsidR="00F70CA4">
        <w:rPr>
          <w:rFonts w:ascii="Times New Roman" w:hAnsi="Times New Roman" w:cs="Times New Roman"/>
          <w:i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الدفاع عن الأنفس و الأعراض و الأموال و قتال و قتل المعتدين و الصائلين و البغاة دفعا لشرهم و كفا لعدوانهم ... و قد </w:t>
      </w:r>
      <w:r w:rsidRPr="00F70CA4">
        <w:rPr>
          <w:rFonts w:ascii="Times New Roman" w:hAnsi="Times New Roman" w:cs="Times New Roman"/>
          <w:i/>
          <w:sz w:val="24"/>
          <w:szCs w:val="24"/>
          <w:rtl/>
        </w:rPr>
        <w:t xml:space="preserve">يترتب على </w:t>
      </w:r>
      <w:r w:rsidR="00F70CA4">
        <w:rPr>
          <w:rFonts w:ascii="Times New Roman" w:hAnsi="Times New Roman" w:cs="Times New Roman"/>
          <w:iCs/>
          <w:sz w:val="24"/>
          <w:szCs w:val="24"/>
        </w:rPr>
        <w:t>]</w:t>
      </w:r>
      <w:r w:rsidRPr="00F70CA4">
        <w:rPr>
          <w:rFonts w:ascii="Times New Roman" w:hAnsi="Times New Roman" w:cs="Times New Roman"/>
          <w:i/>
          <w:sz w:val="24"/>
          <w:szCs w:val="24"/>
          <w:rtl/>
        </w:rPr>
        <w:t>تصرفهم</w:t>
      </w:r>
      <w:r w:rsidR="00F70C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CA4">
        <w:rPr>
          <w:rFonts w:ascii="Times New Roman" w:hAnsi="Times New Roman" w:cs="Times New Roman"/>
          <w:iCs/>
          <w:sz w:val="24"/>
          <w:szCs w:val="24"/>
        </w:rPr>
        <w:t>[</w:t>
      </w:r>
      <w:r w:rsidRPr="00F70CA4">
        <w:rPr>
          <w:rFonts w:ascii="Times New Roman" w:hAnsi="Times New Roman" w:cs="Times New Roman"/>
          <w:i/>
          <w:sz w:val="24"/>
          <w:szCs w:val="24"/>
          <w:rtl/>
        </w:rPr>
        <w:t>قت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ل مصدر الخطر أو جرحه و كل ذلك مح</w:t>
      </w:r>
      <w:r w:rsidR="00F70CA4">
        <w:rPr>
          <w:rFonts w:ascii="Times New Roman" w:hAnsi="Times New Roman" w:cs="Times New Roman"/>
          <w:i/>
          <w:sz w:val="24"/>
          <w:szCs w:val="24"/>
          <w:rtl/>
        </w:rPr>
        <w:t>ظور في نطاق الشرع و القانون ...»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 و ذلك عندما </w:t>
      </w:r>
      <w:r w:rsidR="00915DC5" w:rsidRPr="00915DC5">
        <w:rPr>
          <w:rFonts w:ascii="Times New Roman" w:hAnsi="Times New Roman" w:cs="Times New Roman"/>
          <w:i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يجد المرء نفسه أمام خطر لا يمكنه من اللجوء إلى السلطات لحماية نفسه أو تدارك ذلك الخطر</w:t>
      </w:r>
      <w:r w:rsidR="00915DC5">
        <w:rPr>
          <w:rFonts w:ascii="Times New Roman" w:hAnsi="Times New Roman" w:cs="Times New Roman"/>
          <w:i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 (ص ٨). و يلفت المؤلف النظر إلى مسألة هامة و هي الصعوبة التي قد يجدها الباحثون في إيجاد ما يتعلق بموضوع حق الدفاع الشرعي الخاص في المصادر الإسلامية. </w:t>
      </w:r>
      <w:r w:rsidRPr="00DA0DE2">
        <w:rPr>
          <w:rFonts w:ascii="Times New Roman" w:hAnsi="Times New Roman" w:cs="Times New Roman"/>
          <w:i/>
          <w:sz w:val="24"/>
          <w:szCs w:val="24"/>
          <w:rtl/>
          <w:lang w:bidi="ar-SY"/>
        </w:rPr>
        <w:t xml:space="preserve">و 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يتناول في التمهيد أسباب الإباحة</w:t>
      </w:r>
      <w:r w:rsidRPr="00DA0D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>و يقارن بين الشريعة و القانون السوداني.</w:t>
      </w:r>
    </w:p>
    <w:p w:rsidR="000B3CF8" w:rsidRPr="00DA0DE2" w:rsidRDefault="000B3CF8" w:rsidP="000B3CF8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</w:p>
    <w:p w:rsidR="000B3CF8" w:rsidRPr="00DA0DE2" w:rsidRDefault="000B3CF8" w:rsidP="000B3CF8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</w:rPr>
        <w:t>يعرف الكتاب بداية الدفاع الشرعي في الفقه الإسلامي، و الصيال (الاعتداء و التطاول على الآخرين) في اللغة و في اصطلاح الفقهاء. كما و يعرف الصائل، و الدفاع الشرعي لدى كل من الفقهاء الحديثين و القانون. و يشرح أصل مشروعية الدفاع الشرعي في الفقه الإسلامي خلال التاريخ الإسلامي، و أصله و مشروعيته في القانون الوضعي.</w:t>
      </w:r>
    </w:p>
    <w:p w:rsidR="000B3CF8" w:rsidRPr="00DA0DE2" w:rsidRDefault="000B3CF8" w:rsidP="000B3CF8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</w:p>
    <w:p w:rsidR="000B3CF8" w:rsidRPr="00DA0DE2" w:rsidRDefault="000B3CF8" w:rsidP="000B3CF8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</w:rPr>
        <w:lastRenderedPageBreak/>
        <w:t xml:space="preserve">و أخيرا، يتناول المؤلف شروط نشوء و استعمال الدفاع الشرعي و اثباته و حكم الدفاع عن النفس و الدفاع عن سلامة الجسم و الأطراف، و الدفاع عن العرض، و الدفاع عن حرمة المسكن و الستر، و الدفاع عن المال، و الدفاع عن الغير في الفقه الإسلامي. </w:t>
      </w:r>
    </w:p>
    <w:p w:rsidR="000B3CF8" w:rsidRPr="00DA0DE2" w:rsidRDefault="000B3CF8" w:rsidP="000B3CF8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  </w:t>
      </w:r>
    </w:p>
    <w:p w:rsidR="000B3CF8" w:rsidRPr="00DA0DE2" w:rsidRDefault="000B3CF8" w:rsidP="000B3CF8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i/>
          <w:sz w:val="24"/>
          <w:szCs w:val="24"/>
          <w:rtl/>
        </w:rPr>
        <w:t>و لكن يعاب على الكتاب افتقاره لقائمة مراجع، فقد اكتفى المؤلف بالمعلومات التي أوردها في  هوامش الصفحات، و هو أمر غير متوقع بالنسبة لعمل أصله رسالة أكاديمية. و على الرغم من ذلك فلا</w:t>
      </w:r>
      <w:r w:rsidRPr="00DA0D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i/>
          <w:sz w:val="24"/>
          <w:szCs w:val="24"/>
          <w:rtl/>
        </w:rPr>
        <w:t xml:space="preserve">شك أن المهتمين بمقارنة الفقه الجنائي السوداني  بالمذاهب الأربعة المشهورة سيفيدون من هذا العمل.  </w:t>
      </w:r>
    </w:p>
    <w:p w:rsidR="000B3CF8" w:rsidRPr="00DA0DE2" w:rsidRDefault="000B3CF8" w:rsidP="000B3CF8">
      <w:pPr>
        <w:bidi/>
        <w:spacing w:after="0" w:line="480" w:lineRule="auto"/>
        <w:rPr>
          <w:rFonts w:ascii="Times New Roman" w:hAnsi="Times New Roman" w:cs="Times New Roman"/>
          <w:i/>
          <w:sz w:val="24"/>
          <w:szCs w:val="24"/>
          <w:rtl/>
        </w:rPr>
      </w:pPr>
    </w:p>
    <w:p w:rsidR="009A0E2D" w:rsidRPr="000B3CF8" w:rsidRDefault="000B3CF8" w:rsidP="000B3CF8">
      <w:pPr>
        <w:bidi/>
      </w:pPr>
      <w:r w:rsidRPr="00DA0DE2">
        <w:rPr>
          <w:rFonts w:ascii="Times New Roman" w:hAnsi="Times New Roman" w:cs="Times New Roman"/>
          <w:i/>
          <w:sz w:val="24"/>
          <w:szCs w:val="24"/>
          <w:rtl/>
        </w:rPr>
        <w:t>داليا صبري</w:t>
      </w:r>
    </w:p>
    <w:sectPr w:rsidR="009A0E2D" w:rsidRPr="000B3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2A"/>
    <w:rsid w:val="000071C0"/>
    <w:rsid w:val="00083E80"/>
    <w:rsid w:val="000B3CF8"/>
    <w:rsid w:val="0042709A"/>
    <w:rsid w:val="005E4650"/>
    <w:rsid w:val="006C6B50"/>
    <w:rsid w:val="00791238"/>
    <w:rsid w:val="00915DC5"/>
    <w:rsid w:val="00A530CE"/>
    <w:rsid w:val="00CB6C2A"/>
    <w:rsid w:val="00F7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9A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9A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7</cp:revision>
  <dcterms:created xsi:type="dcterms:W3CDTF">2015-02-23T13:14:00Z</dcterms:created>
  <dcterms:modified xsi:type="dcterms:W3CDTF">2015-06-09T10:14:00Z</dcterms:modified>
</cp:coreProperties>
</file>