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99" w:rsidRPr="00B05582" w:rsidRDefault="00364199" w:rsidP="000C1CD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A0DE2">
        <w:rPr>
          <w:rFonts w:ascii="Times New Roman" w:hAnsi="Times New Roman" w:cs="Times New Roman"/>
          <w:sz w:val="24"/>
          <w:szCs w:val="24"/>
          <w:lang w:val="tr-TR"/>
        </w:rPr>
        <w:t xml:space="preserve">Akgündüz, Ahmet ve Cin, Halil.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>Türk Hukuk Tarihi</w:t>
      </w:r>
      <w:r w:rsidRPr="00DA0DE2">
        <w:rPr>
          <w:rFonts w:ascii="Times New Roman" w:hAnsi="Times New Roman" w:cs="Times New Roman"/>
          <w:sz w:val="24"/>
          <w:szCs w:val="24"/>
          <w:lang w:val="tr-TR"/>
        </w:rPr>
        <w:t xml:space="preserve">. Konya: </w:t>
      </w:r>
      <w:r w:rsidRPr="00B05582">
        <w:rPr>
          <w:rFonts w:ascii="Times New Roman" w:hAnsi="Times New Roman" w:cs="Times New Roman"/>
          <w:sz w:val="24"/>
          <w:szCs w:val="24"/>
          <w:lang w:val="tr-TR"/>
        </w:rPr>
        <w:t>Selçuk Üniversitesi Basımev</w:t>
      </w:r>
      <w:r w:rsidR="000C1CDA">
        <w:rPr>
          <w:rFonts w:ascii="Times New Roman" w:hAnsi="Times New Roman" w:cs="Times New Roman"/>
          <w:sz w:val="24"/>
          <w:szCs w:val="24"/>
          <w:lang w:val="tr-TR"/>
        </w:rPr>
        <w:t>i</w:t>
      </w:r>
      <w:bookmarkStart w:id="0" w:name="_GoBack"/>
      <w:bookmarkEnd w:id="0"/>
      <w:r w:rsidRPr="00B05582">
        <w:rPr>
          <w:rFonts w:ascii="Times New Roman" w:hAnsi="Times New Roman" w:cs="Times New Roman"/>
          <w:sz w:val="24"/>
          <w:szCs w:val="24"/>
          <w:lang w:val="tr-TR"/>
        </w:rPr>
        <w:t xml:space="preserve">, 1989, 2 vols., </w:t>
      </w:r>
      <w:r>
        <w:rPr>
          <w:rFonts w:ascii="Times New Roman" w:hAnsi="Times New Roman" w:cs="Times New Roman"/>
          <w:sz w:val="24"/>
          <w:szCs w:val="24"/>
          <w:lang w:val="tr-TR"/>
        </w:rPr>
        <w:t>920</w:t>
      </w:r>
      <w:r w:rsidR="003D0CEE">
        <w:rPr>
          <w:rFonts w:ascii="Times New Roman" w:hAnsi="Times New Roman" w:cs="Times New Roman"/>
          <w:sz w:val="24"/>
          <w:szCs w:val="24"/>
          <w:lang w:val="tr-TR"/>
        </w:rPr>
        <w:t>pp</w:t>
      </w:r>
      <w:r w:rsidRPr="00DA0DE2">
        <w:rPr>
          <w:rFonts w:ascii="Times New Roman" w:hAnsi="Times New Roman" w:cs="Times New Roman"/>
          <w:sz w:val="24"/>
          <w:szCs w:val="24"/>
          <w:rtl/>
        </w:rPr>
        <w:t>.</w:t>
      </w:r>
    </w:p>
    <w:p w:rsidR="00364199" w:rsidRPr="00B05582" w:rsidRDefault="00364199" w:rsidP="0036419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364199" w:rsidRPr="003D0CEE" w:rsidRDefault="00364199" w:rsidP="0036419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0CEE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364199" w:rsidRPr="00B05582" w:rsidRDefault="00364199" w:rsidP="0036419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364199" w:rsidRPr="00DA0DE2" w:rsidRDefault="00364199" w:rsidP="00364199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التاريخ القانوني التركي</w:t>
      </w:r>
    </w:p>
    <w:p w:rsidR="00364199" w:rsidRPr="00DA0DE2" w:rsidRDefault="00364199" w:rsidP="00364199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:rsidR="00364199" w:rsidRPr="00DA0DE2" w:rsidRDefault="00364199" w:rsidP="00364199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>Türk Hukuk Tarihi</w:t>
      </w:r>
    </w:p>
    <w:p w:rsidR="00364199" w:rsidRPr="00DA0DE2" w:rsidRDefault="00364199" w:rsidP="003D0CE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vanish/>
          <w:sz w:val="24"/>
          <w:szCs w:val="24"/>
          <w:rtl/>
        </w:rPr>
        <w:t xml:space="preserve">تركى التاريخ القانوني : المجلد 1 و المجلد 2 </w:t>
      </w:r>
      <w:r w:rsidRPr="00DA0DE2">
        <w:rPr>
          <w:rFonts w:ascii="Times New Roman" w:hAnsi="Times New Roman" w:cs="Times New Roman"/>
          <w:vanish/>
          <w:sz w:val="24"/>
          <w:szCs w:val="24"/>
          <w:rtl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يتكون العمل المعنون </w:t>
      </w:r>
      <w:r w:rsidR="003D0CEE" w:rsidRPr="003D0CEE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تاريخ تركيا القانوني</w:t>
      </w:r>
      <w:r w:rsidR="003D0CEE" w:rsidRPr="003D0CEE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من مجلدين ألفهما عالمان جليلان في القانون الإسلامي التركي، ألا و هما الأستاذ الدكتور خليل شين، و أحمد أغوندوز الأستاذ المساعد. و قد صدرت الطبعة الأولى للكتاب بعنوان </w:t>
      </w:r>
      <w:r w:rsidR="003D0CEE" w:rsidRPr="003D0CEE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تاريخ القانون الإسلامي التركي</w:t>
      </w:r>
      <w:r w:rsidR="003D0CEE" w:rsidRPr="003D0CEE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، إلا أنه و في الطبعة الثانية سعى الكاتبان إلى توسيع قاعدة قرائهما فاستبدلا العنوان ليصبح </w:t>
      </w:r>
      <w:r w:rsidR="003D0CEE" w:rsidRPr="003D0CEE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تاريخ تركيا القانوني</w:t>
      </w:r>
      <w:r w:rsidR="003D0CEE" w:rsidRPr="003D0CEE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.</w:t>
      </w:r>
    </w:p>
    <w:p w:rsidR="00364199" w:rsidRPr="00DA0DE2" w:rsidRDefault="00364199" w:rsidP="001D50D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>يتميز الكتاب بكونه الأول من نوعه في اعتماده على مصادر أصلية و سجلات خاصة بالدولة تشتمل على كتب للفتوى، و سجلات للمحكمة الشرعية، و مدونات للقوانين، و وثائق أرشيفية، و بحوث هامة لباحثين</w:t>
      </w:r>
      <w:r w:rsidR="001D50DD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أكاديميين مسلمين بارزين</w:t>
      </w:r>
      <w:r w:rsidR="001D50D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D50DD">
        <w:rPr>
          <w:rFonts w:ascii="Times New Roman" w:hAnsi="Times New Roman" w:cs="Times New Roman" w:hint="cs"/>
          <w:sz w:val="24"/>
          <w:szCs w:val="24"/>
          <w:rtl/>
        </w:rPr>
        <w:t xml:space="preserve">و </w:t>
      </w:r>
      <w:r w:rsidR="001D50DD">
        <w:rPr>
          <w:rFonts w:ascii="Times New Roman" w:hAnsi="Times New Roman" w:cs="Times New Roman"/>
          <w:sz w:val="24"/>
          <w:szCs w:val="24"/>
          <w:rtl/>
        </w:rPr>
        <w:t xml:space="preserve">يتكون العمل من مجلدين يتناول </w:t>
      </w:r>
      <w:r w:rsidRPr="00DA0DE2">
        <w:rPr>
          <w:rFonts w:ascii="Times New Roman" w:hAnsi="Times New Roman" w:cs="Times New Roman"/>
          <w:sz w:val="24"/>
          <w:szCs w:val="24"/>
          <w:rtl/>
        </w:rPr>
        <w:t>أول</w:t>
      </w:r>
      <w:r w:rsidR="001D50DD">
        <w:rPr>
          <w:rFonts w:ascii="Times New Roman" w:hAnsi="Times New Roman" w:cs="Times New Roman" w:hint="cs"/>
          <w:sz w:val="24"/>
          <w:szCs w:val="24"/>
          <w:rtl/>
        </w:rPr>
        <w:t>هما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القانون العام و  يركز الثاني على القانون الخاص. </w:t>
      </w:r>
    </w:p>
    <w:p w:rsidR="00364199" w:rsidRPr="00DA0DE2" w:rsidRDefault="00364199" w:rsidP="00D932D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 xml:space="preserve">يتخذ المجلد الأول </w:t>
      </w:r>
      <w:r w:rsidR="001D50DD">
        <w:rPr>
          <w:rFonts w:ascii="Times New Roman" w:hAnsi="Times New Roman" w:cs="Times New Roman" w:hint="cs"/>
          <w:sz w:val="24"/>
          <w:szCs w:val="24"/>
          <w:rtl/>
        </w:rPr>
        <w:t>ذو ا</w:t>
      </w:r>
      <w:r w:rsidR="001D50DD">
        <w:rPr>
          <w:rFonts w:ascii="Times New Roman" w:hAnsi="Times New Roman" w:cs="Times New Roman"/>
          <w:sz w:val="24"/>
          <w:szCs w:val="24"/>
          <w:rtl/>
        </w:rPr>
        <w:t>ﻟ</w:t>
      </w:r>
      <w:r w:rsidR="001D50DD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="001D50DD">
        <w:rPr>
          <w:rFonts w:ascii="Times New Roman" w:hAnsi="Times New Roman" w:cs="Times New Roman"/>
          <w:sz w:val="24"/>
          <w:szCs w:val="24"/>
          <w:rtl/>
        </w:rPr>
        <w:t>٤٧٠ صفحة</w:t>
      </w:r>
      <w:r w:rsidR="001D50DD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="001D50DD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من اعتناق</w:t>
      </w:r>
      <w:r w:rsidR="00D932D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الأتراك للإسلام كنقطة بداية له، و يقسم تاريخ القانون التركي إلى قسمين قبل الإسلام و بعده. تصف مقدمة المجلد تاريخ القانون، و أ</w:t>
      </w:r>
      <w:r w:rsidR="007C0E9C">
        <w:rPr>
          <w:rFonts w:ascii="Times New Roman" w:hAnsi="Times New Roman" w:cs="Times New Roman" w:hint="cs"/>
          <w:sz w:val="24"/>
          <w:szCs w:val="24"/>
          <w:rtl/>
        </w:rPr>
        <w:t>قسامه</w:t>
      </w:r>
      <w:r w:rsidRPr="00DA0DE2">
        <w:rPr>
          <w:rFonts w:ascii="Times New Roman" w:hAnsi="Times New Roman" w:cs="Times New Roman"/>
          <w:sz w:val="24"/>
          <w:szCs w:val="24"/>
          <w:rtl/>
        </w:rPr>
        <w:t>، و أهميته و يناقش الجزء الأول منه القانون التركي في فترة ما قبل الإسلام، أما موضوع المجلد الرئيسي، ألا و هو القانون التركي في فترة ما بعد الإسلام، فيتم تناوله في الجزء الثاني</w:t>
      </w:r>
      <w:r w:rsidR="00D932D1">
        <w:rPr>
          <w:rFonts w:ascii="Times New Roman" w:hAnsi="Times New Roman" w:cs="Times New Roman" w:hint="cs"/>
          <w:sz w:val="24"/>
          <w:szCs w:val="24"/>
          <w:rtl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فبعد تعريف القارئ بمصطلح الشريعة الإسلامية، و خصائصها، و تفاعلها مع النظم القانونية الأخرى، يناقش هذا الجزء فترات القانون التركي في مرحلة ما بعد الإسلام. </w:t>
      </w:r>
    </w:p>
    <w:p w:rsidR="00364199" w:rsidRPr="00DA0DE2" w:rsidRDefault="00364199" w:rsidP="00D932D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 xml:space="preserve">نظرا لأن المجلد الأول مخصص للقانون العام، فالمؤلفان يشرعان في دراسة هذا الموضوع  في فصول منفصلة تحمل </w:t>
      </w: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>عناوين: القانون الدستوري، و القانون الإداري، و القانون الجنائي، و القانون الإجرائي، و القانون المالي، و القانون الدولي. علاوة على ذلك عالج الكاتبان مسألة تحديث القانون التركي من خلال التمييز في كل فصل بين فترة ما قبل التنظيمات و ما بعدها خلال عهد ال</w:t>
      </w:r>
      <w:r w:rsidR="00D932D1">
        <w:rPr>
          <w:rFonts w:ascii="Times New Roman" w:hAnsi="Times New Roman" w:cs="Times New Roman" w:hint="cs"/>
          <w:sz w:val="24"/>
          <w:szCs w:val="24"/>
          <w:rtl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مبراطورية العثمانية. </w:t>
      </w:r>
    </w:p>
    <w:p w:rsidR="00364199" w:rsidRPr="00DA0DE2" w:rsidRDefault="00364199" w:rsidP="0036419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64199" w:rsidRPr="00DA0DE2" w:rsidRDefault="00364199" w:rsidP="00D932D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أما المجلد الثاني المكون من ٤٥٠ صفحة فيركز على القانون الخاص حيث يناقش المؤلفان في فصول منفصلة فروع القانون الخاص الهامة كقانون الأحوال الشخصية، و قانون الأسرة، و قانون الميراث، و قانون الالتزامات، و قانون الملكية، و القانون التجاري، و</w:t>
      </w:r>
      <w:r w:rsidR="00D932D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القانون الدولي الخاص. و</w:t>
      </w:r>
      <w:r w:rsidR="00D932D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على نسق المجلد الأول، يذكر الكاتبان مساعي ال</w:t>
      </w:r>
      <w:r w:rsidR="00D932D1">
        <w:rPr>
          <w:rFonts w:ascii="Times New Roman" w:hAnsi="Times New Roman" w:cs="Times New Roman" w:hint="cs"/>
          <w:sz w:val="24"/>
          <w:szCs w:val="24"/>
          <w:rtl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مبراطورية العثمانية لتحديث القانون التركي الخاص خلال فترة التنظيمات.  </w:t>
      </w:r>
      <w:r w:rsidRPr="00DA0DE2">
        <w:rPr>
          <w:rFonts w:ascii="Times New Roman" w:hAnsi="Times New Roman" w:cs="Times New Roman"/>
          <w:sz w:val="24"/>
          <w:szCs w:val="24"/>
          <w:rtl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</w:rPr>
        <w:br/>
        <w:t xml:space="preserve">يسلط المجلد الثاني الضوء تحديدا على القضايا المتناقضة المحيطة بالشريعة الإسلامية كالتمييز بين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الشخصية الاعتبارية و الشخصية القانونية، </w:t>
      </w:r>
      <w:r w:rsidRPr="00DA0DE2">
        <w:rPr>
          <w:rFonts w:ascii="Times New Roman" w:hAnsi="Times New Roman" w:cs="Times New Roman"/>
          <w:sz w:val="24"/>
          <w:szCs w:val="24"/>
          <w:rtl/>
        </w:rPr>
        <w:t>و المؤسسات والجمعيات، و عقد الزواج و إنهاء الزواج و نتائجه، و الميراث (الأسهم و</w:t>
      </w:r>
      <w:r w:rsidR="00D932D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الخلافة)،</w:t>
      </w:r>
      <w:r w:rsidR="00D932D1">
        <w:rPr>
          <w:rFonts w:ascii="Times New Roman" w:hAnsi="Times New Roman" w:cs="Times New Roman"/>
          <w:sz w:val="24"/>
          <w:szCs w:val="24"/>
          <w:rtl/>
        </w:rPr>
        <w:t xml:space="preserve"> و مصادر الالتزامات و تأسيسها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، و إلحاق الضرر بالآخرين، و الحيازة و الملكية، و تسجيل الأراضي و أسس قانون الشركات، و المواطنة، و تعارض القوانين. </w:t>
      </w:r>
    </w:p>
    <w:p w:rsidR="00364199" w:rsidRPr="00DA0DE2" w:rsidRDefault="00364199" w:rsidP="0036419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 xml:space="preserve">يعتبر الكتاب أحد المصادر الرئيسية في المجال الذي يتناوله حيث يحاول الكاتبان تعريف المحامين الأتراك، و خاصة طلاب القانون، بالشريعة الإسلامية من خلال تقديم دراسة مقارنة بطريقة منهجية و قانونية تتبع نمط القانوني التركي. لذا فهو يعتبر مصدرا لا غنى عنه في الدراسات الخاصة بهذا الموضوع، و ما يميزه عن غيره هو لغته السهلة، و كتابته الواضحة، و محتواه المفصل. </w:t>
      </w:r>
      <w:r w:rsidRPr="00DA0DE2">
        <w:rPr>
          <w:rFonts w:ascii="Times New Roman" w:hAnsi="Times New Roman" w:cs="Times New Roman"/>
          <w:sz w:val="24"/>
          <w:szCs w:val="24"/>
          <w:rtl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</w:rPr>
        <w:br/>
        <w:t>بورجو كيليج</w:t>
      </w:r>
      <w:r w:rsidRPr="00DA0D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64199" w:rsidRPr="00DA0DE2" w:rsidRDefault="00364199" w:rsidP="0036419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عادل لاغة</w:t>
      </w:r>
    </w:p>
    <w:sectPr w:rsidR="00364199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F"/>
    <w:rsid w:val="000071C0"/>
    <w:rsid w:val="00075CFF"/>
    <w:rsid w:val="00083E80"/>
    <w:rsid w:val="000C1CDA"/>
    <w:rsid w:val="001C3AD9"/>
    <w:rsid w:val="001D50DD"/>
    <w:rsid w:val="00364199"/>
    <w:rsid w:val="003D0CEE"/>
    <w:rsid w:val="006C6B50"/>
    <w:rsid w:val="00791238"/>
    <w:rsid w:val="007C0E9C"/>
    <w:rsid w:val="00D932D1"/>
    <w:rsid w:val="00E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2015-02-23T16:06:00Z</dcterms:created>
  <dcterms:modified xsi:type="dcterms:W3CDTF">2015-06-15T14:00:00Z</dcterms:modified>
</cp:coreProperties>
</file>