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6E2" w:rsidRPr="009C26E2" w:rsidRDefault="009C26E2" w:rsidP="009C26E2">
      <w:pPr>
        <w:spacing w:after="0" w:line="480" w:lineRule="auto"/>
        <w:rPr>
          <w:rFonts w:ascii="Times New Roman" w:hAnsi="Times New Roman" w:cs="Times New Roman"/>
          <w:sz w:val="24"/>
          <w:szCs w:val="24"/>
          <w:lang w:val="tr-TR"/>
        </w:rPr>
      </w:pPr>
      <w:r w:rsidRPr="009C26E2">
        <w:rPr>
          <w:rFonts w:ascii="Times New Roman" w:hAnsi="Times New Roman" w:cs="Times New Roman"/>
          <w:sz w:val="24"/>
          <w:szCs w:val="24"/>
          <w:lang w:val="tr-TR"/>
        </w:rPr>
        <w:t xml:space="preserve">Keskioğlu, Osman. </w:t>
      </w:r>
      <w:r w:rsidRPr="009C26E2">
        <w:rPr>
          <w:rFonts w:ascii="Times New Roman" w:hAnsi="Times New Roman" w:cs="Times New Roman"/>
          <w:i/>
          <w:iCs/>
          <w:sz w:val="24"/>
          <w:szCs w:val="24"/>
          <w:lang w:val="tr-TR"/>
        </w:rPr>
        <w:t>Fıkıh Tarihi ve İslam Hukuku</w:t>
      </w:r>
      <w:r w:rsidRPr="009C26E2">
        <w:rPr>
          <w:rFonts w:ascii="Times New Roman" w:hAnsi="Times New Roman" w:cs="Times New Roman"/>
          <w:sz w:val="24"/>
          <w:szCs w:val="24"/>
          <w:lang w:val="tr-TR"/>
        </w:rPr>
        <w:t xml:space="preserve">. Ankara: Diyanet İşleri Başkanlığı Yayınları, 1975, 282pp. </w:t>
      </w:r>
    </w:p>
    <w:p w:rsidR="00322404" w:rsidRPr="003421A9" w:rsidRDefault="00322404" w:rsidP="00322404">
      <w:pPr>
        <w:spacing w:after="0" w:line="480" w:lineRule="auto"/>
        <w:rPr>
          <w:rFonts w:ascii="Times New Roman" w:hAnsi="Times New Roman" w:cs="Times New Roman"/>
          <w:sz w:val="24"/>
          <w:szCs w:val="24"/>
          <w:lang w:val="tr-TR"/>
        </w:rPr>
      </w:pPr>
    </w:p>
    <w:p w:rsidR="00322404" w:rsidRPr="009C26E2" w:rsidRDefault="00322404" w:rsidP="00322404">
      <w:pPr>
        <w:spacing w:after="0" w:line="480" w:lineRule="auto"/>
        <w:jc w:val="center"/>
        <w:rPr>
          <w:rFonts w:ascii="Times New Roman" w:hAnsi="Times New Roman" w:cs="Times New Roman"/>
          <w:b/>
          <w:bCs/>
          <w:sz w:val="24"/>
          <w:szCs w:val="24"/>
          <w:lang w:val="tr-TR"/>
        </w:rPr>
      </w:pPr>
      <w:r w:rsidRPr="009C26E2">
        <w:rPr>
          <w:rFonts w:ascii="Times New Roman" w:hAnsi="Times New Roman" w:cs="Times New Roman"/>
          <w:b/>
          <w:bCs/>
          <w:sz w:val="24"/>
          <w:szCs w:val="24"/>
          <w:lang w:val="tr-TR"/>
        </w:rPr>
        <w:t>ABSTRACT</w:t>
      </w:r>
    </w:p>
    <w:p w:rsidR="00322404" w:rsidRPr="003421A9" w:rsidRDefault="00322404" w:rsidP="00322404">
      <w:pPr>
        <w:spacing w:after="0" w:line="480" w:lineRule="auto"/>
        <w:jc w:val="center"/>
        <w:rPr>
          <w:rFonts w:ascii="Times New Roman" w:hAnsi="Times New Roman" w:cs="Times New Roman"/>
          <w:b/>
          <w:bCs/>
          <w:sz w:val="24"/>
          <w:szCs w:val="24"/>
          <w:lang w:val="tr-TR"/>
        </w:rPr>
      </w:pPr>
    </w:p>
    <w:p w:rsidR="00322404" w:rsidRPr="003421A9" w:rsidRDefault="00322404" w:rsidP="00322404">
      <w:pPr>
        <w:spacing w:after="0" w:line="480" w:lineRule="auto"/>
        <w:jc w:val="center"/>
        <w:rPr>
          <w:rFonts w:ascii="Times New Roman" w:hAnsi="Times New Roman" w:cs="Times New Roman"/>
          <w:b/>
          <w:bCs/>
          <w:sz w:val="24"/>
          <w:szCs w:val="24"/>
          <w:lang w:val="tr-TR"/>
        </w:rPr>
      </w:pPr>
      <w:r w:rsidRPr="003421A9">
        <w:rPr>
          <w:rFonts w:ascii="Times New Roman" w:hAnsi="Times New Roman" w:cs="Times New Roman"/>
          <w:b/>
          <w:bCs/>
          <w:sz w:val="24"/>
          <w:szCs w:val="24"/>
          <w:lang w:val="tr-TR"/>
        </w:rPr>
        <w:t xml:space="preserve">History of </w:t>
      </w:r>
      <w:r w:rsidRPr="003421A9">
        <w:rPr>
          <w:rFonts w:ascii="Times New Roman" w:hAnsi="Times New Roman" w:cs="Times New Roman"/>
          <w:b/>
          <w:bCs/>
          <w:i/>
          <w:sz w:val="24"/>
          <w:szCs w:val="24"/>
          <w:lang w:val="tr-TR"/>
        </w:rPr>
        <w:t>Fiqh</w:t>
      </w:r>
      <w:r w:rsidRPr="003421A9">
        <w:rPr>
          <w:rFonts w:ascii="Times New Roman" w:hAnsi="Times New Roman" w:cs="Times New Roman"/>
          <w:b/>
          <w:bCs/>
          <w:sz w:val="24"/>
          <w:szCs w:val="24"/>
          <w:lang w:val="tr-TR"/>
        </w:rPr>
        <w:t xml:space="preserve"> and Islamic Law</w:t>
      </w:r>
    </w:p>
    <w:p w:rsidR="00322404" w:rsidRPr="003421A9" w:rsidRDefault="00322404" w:rsidP="00322404">
      <w:pPr>
        <w:spacing w:after="0" w:line="480" w:lineRule="auto"/>
        <w:jc w:val="center"/>
        <w:rPr>
          <w:rFonts w:ascii="Times New Roman" w:hAnsi="Times New Roman" w:cs="Times New Roman"/>
          <w:b/>
          <w:bCs/>
          <w:sz w:val="24"/>
          <w:szCs w:val="24"/>
          <w:lang w:val="tr-TR"/>
        </w:rPr>
      </w:pPr>
    </w:p>
    <w:p w:rsidR="00322404" w:rsidRPr="003421A9" w:rsidRDefault="00322404" w:rsidP="00322404">
      <w:pPr>
        <w:spacing w:after="0" w:line="480" w:lineRule="auto"/>
        <w:jc w:val="center"/>
        <w:rPr>
          <w:rFonts w:ascii="Times New Roman" w:hAnsi="Times New Roman" w:cs="Times New Roman"/>
          <w:b/>
          <w:bCs/>
          <w:sz w:val="24"/>
          <w:szCs w:val="24"/>
          <w:lang w:val="tr-TR"/>
        </w:rPr>
      </w:pPr>
      <w:r w:rsidRPr="003421A9">
        <w:rPr>
          <w:rFonts w:ascii="Times New Roman" w:hAnsi="Times New Roman" w:cs="Times New Roman"/>
          <w:i/>
          <w:iCs/>
          <w:sz w:val="24"/>
          <w:szCs w:val="24"/>
          <w:lang w:val="tr-TR"/>
        </w:rPr>
        <w:t>Fıkıh Tarihi ve İslam Hukuku</w:t>
      </w:r>
    </w:p>
    <w:p w:rsidR="00322404" w:rsidRPr="003421A9" w:rsidRDefault="00322404" w:rsidP="00322404">
      <w:pPr>
        <w:spacing w:after="0" w:line="480" w:lineRule="auto"/>
        <w:jc w:val="center"/>
        <w:rPr>
          <w:rFonts w:ascii="Times New Roman" w:hAnsi="Times New Roman" w:cs="Times New Roman"/>
          <w:b/>
          <w:bCs/>
          <w:sz w:val="24"/>
          <w:szCs w:val="24"/>
          <w:lang w:val="tr-TR"/>
        </w:rPr>
      </w:pPr>
    </w:p>
    <w:p w:rsidR="00322404" w:rsidRDefault="00322404" w:rsidP="00322404">
      <w:pPr>
        <w:spacing w:after="0" w:line="480" w:lineRule="auto"/>
        <w:jc w:val="both"/>
        <w:rPr>
          <w:rFonts w:ascii="Times New Roman" w:eastAsia="Arial Unicode MS" w:hAnsi="Times New Roman" w:cs="Times New Roman"/>
          <w:sz w:val="24"/>
          <w:szCs w:val="24"/>
        </w:rPr>
      </w:pPr>
      <w:r w:rsidRPr="003421A9">
        <w:rPr>
          <w:rFonts w:ascii="Times New Roman" w:eastAsia="Arial Unicode MS" w:hAnsi="Times New Roman" w:cs="Times New Roman"/>
          <w:sz w:val="24"/>
          <w:szCs w:val="24"/>
        </w:rPr>
        <w:t>This 282-page book focuses on the historical evolution of Islamic law. It was published by the Ministry of Religious Affairs and this abstract is based on the fourth edition of 1975.</w:t>
      </w:r>
    </w:p>
    <w:p w:rsidR="003105E9" w:rsidRPr="003421A9" w:rsidRDefault="003105E9" w:rsidP="00322404">
      <w:pPr>
        <w:spacing w:after="0" w:line="480" w:lineRule="auto"/>
        <w:jc w:val="both"/>
        <w:rPr>
          <w:rFonts w:ascii="Times New Roman" w:eastAsia="Arial Unicode MS" w:hAnsi="Times New Roman" w:cs="Times New Roman"/>
          <w:sz w:val="24"/>
          <w:szCs w:val="24"/>
        </w:rPr>
      </w:pPr>
    </w:p>
    <w:p w:rsidR="00322404" w:rsidRPr="003421A9" w:rsidRDefault="00322404" w:rsidP="00322404">
      <w:pPr>
        <w:spacing w:after="0" w:line="480" w:lineRule="auto"/>
        <w:jc w:val="both"/>
        <w:rPr>
          <w:rFonts w:ascii="Times New Roman" w:eastAsia="Arial Unicode MS" w:hAnsi="Times New Roman" w:cs="Times New Roman"/>
          <w:sz w:val="24"/>
          <w:szCs w:val="24"/>
        </w:rPr>
      </w:pPr>
      <w:r w:rsidRPr="003421A9">
        <w:rPr>
          <w:rFonts w:ascii="Times New Roman" w:eastAsia="Arial Unicode MS" w:hAnsi="Times New Roman" w:cs="Times New Roman"/>
          <w:sz w:val="24"/>
          <w:szCs w:val="24"/>
        </w:rPr>
        <w:t xml:space="preserve">The book consists of two main chapters. In the first chapter, the historical development of </w:t>
      </w:r>
      <w:proofErr w:type="spellStart"/>
      <w:r w:rsidRPr="003421A9">
        <w:rPr>
          <w:rFonts w:ascii="Times New Roman" w:eastAsia="Arial Unicode MS" w:hAnsi="Times New Roman" w:cs="Times New Roman"/>
          <w:i/>
          <w:sz w:val="24"/>
          <w:szCs w:val="24"/>
        </w:rPr>
        <w:t>fiqh</w:t>
      </w:r>
      <w:proofErr w:type="spellEnd"/>
      <w:r w:rsidRPr="003421A9">
        <w:rPr>
          <w:rFonts w:ascii="Times New Roman" w:eastAsia="Arial Unicode MS" w:hAnsi="Times New Roman" w:cs="Times New Roman"/>
          <w:sz w:val="24"/>
          <w:szCs w:val="24"/>
        </w:rPr>
        <w:t xml:space="preserve"> (a term that means “to understand, to know, to apprehend” but which is also used as a synonym for law) is analysed, while concentrating on the main periods, namely </w:t>
      </w:r>
      <w:proofErr w:type="spellStart"/>
      <w:r w:rsidRPr="003421A9">
        <w:rPr>
          <w:rFonts w:ascii="Times New Roman" w:eastAsia="Arial Unicode MS" w:hAnsi="Times New Roman" w:cs="Times New Roman"/>
          <w:i/>
          <w:iCs/>
          <w:sz w:val="24"/>
          <w:szCs w:val="24"/>
        </w:rPr>
        <w:t>wahy</w:t>
      </w:r>
      <w:proofErr w:type="spellEnd"/>
      <w:r w:rsidRPr="003421A9">
        <w:rPr>
          <w:rFonts w:ascii="Times New Roman" w:eastAsia="Arial Unicode MS" w:hAnsi="Times New Roman" w:cs="Times New Roman"/>
          <w:sz w:val="24"/>
          <w:szCs w:val="24"/>
        </w:rPr>
        <w:t xml:space="preserve"> (revelation), </w:t>
      </w:r>
      <w:proofErr w:type="spellStart"/>
      <w:r w:rsidRPr="003421A9">
        <w:rPr>
          <w:rFonts w:ascii="Times New Roman" w:eastAsia="Arial Unicode MS" w:hAnsi="Times New Roman" w:cs="Times New Roman"/>
          <w:i/>
          <w:iCs/>
          <w:sz w:val="24"/>
          <w:szCs w:val="24"/>
        </w:rPr>
        <w:t>sahabah</w:t>
      </w:r>
      <w:proofErr w:type="spellEnd"/>
      <w:r w:rsidRPr="003421A9">
        <w:rPr>
          <w:rFonts w:ascii="Times New Roman" w:eastAsia="Arial Unicode MS" w:hAnsi="Times New Roman" w:cs="Times New Roman"/>
          <w:sz w:val="24"/>
          <w:szCs w:val="24"/>
        </w:rPr>
        <w:t xml:space="preserve">, </w:t>
      </w:r>
      <w:proofErr w:type="spellStart"/>
      <w:proofErr w:type="gramStart"/>
      <w:r w:rsidRPr="003421A9">
        <w:rPr>
          <w:rFonts w:ascii="Times New Roman" w:eastAsia="Arial Unicode MS" w:hAnsi="Times New Roman" w:cs="Times New Roman"/>
          <w:bCs/>
          <w:i/>
          <w:iCs/>
          <w:sz w:val="24"/>
          <w:szCs w:val="24"/>
        </w:rPr>
        <w:t>t</w:t>
      </w:r>
      <w:r w:rsidRPr="003421A9">
        <w:rPr>
          <w:rFonts w:ascii="Times New Roman" w:eastAsia="Arial Unicode MS" w:hAnsi="Times New Roman" w:cs="Times New Roman"/>
          <w:i/>
          <w:iCs/>
          <w:sz w:val="24"/>
          <w:szCs w:val="24"/>
        </w:rPr>
        <w:t>a</w:t>
      </w:r>
      <w:r w:rsidRPr="003421A9">
        <w:rPr>
          <w:rFonts w:ascii="Times New Roman" w:eastAsia="Arial Unicode MS" w:hAnsi="Times New Roman" w:cs="Times New Roman"/>
          <w:bCs/>
          <w:i/>
          <w:iCs/>
          <w:sz w:val="24"/>
          <w:szCs w:val="24"/>
        </w:rPr>
        <w:t>bi‘un</w:t>
      </w:r>
      <w:proofErr w:type="spellEnd"/>
      <w:proofErr w:type="gramEnd"/>
      <w:r w:rsidRPr="003421A9">
        <w:rPr>
          <w:rFonts w:ascii="Times New Roman" w:eastAsia="Arial Unicode MS" w:hAnsi="Times New Roman" w:cs="Times New Roman"/>
          <w:bCs/>
          <w:sz w:val="24"/>
          <w:szCs w:val="24"/>
        </w:rPr>
        <w:t xml:space="preserve">, </w:t>
      </w:r>
      <w:proofErr w:type="spellStart"/>
      <w:r w:rsidRPr="003421A9">
        <w:rPr>
          <w:rFonts w:ascii="Times New Roman" w:eastAsia="Arial Unicode MS" w:hAnsi="Times New Roman" w:cs="Times New Roman"/>
          <w:bCs/>
          <w:i/>
          <w:iCs/>
          <w:sz w:val="24"/>
          <w:szCs w:val="24"/>
        </w:rPr>
        <w:t>ijtih</w:t>
      </w:r>
      <w:r w:rsidRPr="003421A9">
        <w:rPr>
          <w:rFonts w:ascii="Times New Roman" w:eastAsia="Arial Unicode MS" w:hAnsi="Times New Roman" w:cs="Times New Roman"/>
          <w:i/>
          <w:iCs/>
          <w:sz w:val="24"/>
          <w:szCs w:val="24"/>
        </w:rPr>
        <w:t>a</w:t>
      </w:r>
      <w:r w:rsidRPr="003421A9">
        <w:rPr>
          <w:rFonts w:ascii="Times New Roman" w:eastAsia="Arial Unicode MS" w:hAnsi="Times New Roman" w:cs="Times New Roman"/>
          <w:bCs/>
          <w:i/>
          <w:iCs/>
          <w:sz w:val="24"/>
          <w:szCs w:val="24"/>
        </w:rPr>
        <w:t>d</w:t>
      </w:r>
      <w:proofErr w:type="spellEnd"/>
      <w:r w:rsidRPr="003421A9">
        <w:rPr>
          <w:rFonts w:ascii="Times New Roman" w:eastAsia="Arial Unicode MS" w:hAnsi="Times New Roman" w:cs="Times New Roman"/>
          <w:bCs/>
          <w:sz w:val="24"/>
          <w:szCs w:val="24"/>
        </w:rPr>
        <w:t xml:space="preserve">, </w:t>
      </w:r>
      <w:proofErr w:type="spellStart"/>
      <w:r w:rsidRPr="003421A9">
        <w:rPr>
          <w:rFonts w:ascii="Times New Roman" w:eastAsia="Arial Unicode MS" w:hAnsi="Times New Roman" w:cs="Times New Roman"/>
          <w:bCs/>
          <w:i/>
          <w:iCs/>
          <w:sz w:val="24"/>
          <w:szCs w:val="24"/>
        </w:rPr>
        <w:t>taqlid</w:t>
      </w:r>
      <w:proofErr w:type="spellEnd"/>
      <w:r w:rsidRPr="003421A9">
        <w:rPr>
          <w:rFonts w:ascii="Times New Roman" w:eastAsia="Arial Unicode MS" w:hAnsi="Times New Roman" w:cs="Times New Roman"/>
          <w:bCs/>
          <w:sz w:val="24"/>
          <w:szCs w:val="24"/>
        </w:rPr>
        <w:t xml:space="preserve"> and </w:t>
      </w:r>
      <w:proofErr w:type="spellStart"/>
      <w:r w:rsidRPr="003421A9">
        <w:rPr>
          <w:rFonts w:ascii="Times New Roman" w:eastAsia="Arial Unicode MS" w:hAnsi="Times New Roman" w:cs="Times New Roman"/>
          <w:bCs/>
          <w:i/>
          <w:iCs/>
          <w:sz w:val="24"/>
          <w:szCs w:val="24"/>
        </w:rPr>
        <w:t>aljmod</w:t>
      </w:r>
      <w:proofErr w:type="spellEnd"/>
      <w:r w:rsidRPr="003421A9">
        <w:rPr>
          <w:rFonts w:ascii="Times New Roman" w:eastAsia="Arial Unicode MS" w:hAnsi="Times New Roman" w:cs="Times New Roman"/>
          <w:sz w:val="24"/>
          <w:szCs w:val="24"/>
        </w:rPr>
        <w:t xml:space="preserve">. In this regard, parallel to developments in Islam, the main principles and purposes of Islamic legal rules and the sources of law are explained: in particular the Qur’an, the Sunna (the sayings and conduct of the Prophet Muhammad), </w:t>
      </w:r>
      <w:proofErr w:type="spellStart"/>
      <w:r w:rsidRPr="003421A9">
        <w:rPr>
          <w:rFonts w:ascii="Times New Roman" w:eastAsia="Arial Unicode MS" w:hAnsi="Times New Roman" w:cs="Times New Roman"/>
          <w:i/>
          <w:iCs/>
          <w:sz w:val="24"/>
          <w:szCs w:val="24"/>
        </w:rPr>
        <w:t>qiyas</w:t>
      </w:r>
      <w:proofErr w:type="spellEnd"/>
      <w:r w:rsidRPr="003421A9">
        <w:rPr>
          <w:rFonts w:ascii="Times New Roman" w:eastAsia="Arial Unicode MS" w:hAnsi="Times New Roman" w:cs="Times New Roman"/>
          <w:sz w:val="24"/>
          <w:szCs w:val="24"/>
        </w:rPr>
        <w:t xml:space="preserve"> (analogy), </w:t>
      </w:r>
      <w:proofErr w:type="spellStart"/>
      <w:r w:rsidRPr="003421A9">
        <w:rPr>
          <w:rFonts w:ascii="Times New Roman" w:eastAsia="Arial Unicode MS" w:hAnsi="Times New Roman" w:cs="Times New Roman"/>
          <w:i/>
          <w:iCs/>
          <w:sz w:val="24"/>
          <w:szCs w:val="24"/>
        </w:rPr>
        <w:t>ijtihad</w:t>
      </w:r>
      <w:proofErr w:type="spellEnd"/>
      <w:r w:rsidRPr="003421A9">
        <w:rPr>
          <w:rFonts w:ascii="Times New Roman" w:eastAsia="Arial Unicode MS" w:hAnsi="Times New Roman" w:cs="Times New Roman"/>
          <w:sz w:val="24"/>
          <w:szCs w:val="24"/>
        </w:rPr>
        <w:t xml:space="preserve"> (independent reasoning) and </w:t>
      </w:r>
      <w:proofErr w:type="spellStart"/>
      <w:r w:rsidRPr="003421A9">
        <w:rPr>
          <w:rFonts w:ascii="Times New Roman" w:eastAsia="Arial Unicode MS" w:hAnsi="Times New Roman" w:cs="Times New Roman"/>
          <w:i/>
          <w:iCs/>
          <w:sz w:val="24"/>
          <w:szCs w:val="24"/>
        </w:rPr>
        <w:t>ijma</w:t>
      </w:r>
      <w:proofErr w:type="spellEnd"/>
      <w:r w:rsidRPr="003421A9">
        <w:rPr>
          <w:rFonts w:ascii="Times New Roman" w:eastAsia="Arial Unicode MS" w:hAnsi="Times New Roman" w:cs="Times New Roman"/>
          <w:i/>
          <w:iCs/>
          <w:sz w:val="24"/>
          <w:szCs w:val="24"/>
        </w:rPr>
        <w:t>‘</w:t>
      </w:r>
      <w:r w:rsidRPr="003421A9">
        <w:rPr>
          <w:rFonts w:ascii="Times New Roman" w:eastAsia="Arial Unicode MS" w:hAnsi="Times New Roman" w:cs="Times New Roman"/>
          <w:sz w:val="24"/>
          <w:szCs w:val="24"/>
        </w:rPr>
        <w:t xml:space="preserve"> (consensus). Also, information is provided in great detail about the emergence and development of schools of law (the </w:t>
      </w:r>
      <w:proofErr w:type="spellStart"/>
      <w:r w:rsidRPr="003421A9">
        <w:rPr>
          <w:rFonts w:ascii="Times New Roman" w:eastAsia="Arial Unicode MS" w:hAnsi="Times New Roman" w:cs="Times New Roman"/>
          <w:sz w:val="24"/>
          <w:szCs w:val="24"/>
        </w:rPr>
        <w:t>Hanafi</w:t>
      </w:r>
      <w:proofErr w:type="spellEnd"/>
      <w:r w:rsidRPr="003421A9">
        <w:rPr>
          <w:rFonts w:ascii="Times New Roman" w:eastAsia="Arial Unicode MS" w:hAnsi="Times New Roman" w:cs="Times New Roman"/>
          <w:sz w:val="24"/>
          <w:szCs w:val="24"/>
        </w:rPr>
        <w:t xml:space="preserve">, </w:t>
      </w:r>
      <w:proofErr w:type="spellStart"/>
      <w:r w:rsidRPr="003421A9">
        <w:rPr>
          <w:rFonts w:ascii="Times New Roman" w:eastAsia="Arial Unicode MS" w:hAnsi="Times New Roman" w:cs="Times New Roman"/>
          <w:sz w:val="24"/>
          <w:szCs w:val="24"/>
        </w:rPr>
        <w:t>Shafi‘i</w:t>
      </w:r>
      <w:proofErr w:type="spellEnd"/>
      <w:r w:rsidRPr="003421A9">
        <w:rPr>
          <w:rFonts w:ascii="Times New Roman" w:eastAsia="Arial Unicode MS" w:hAnsi="Times New Roman" w:cs="Times New Roman"/>
          <w:sz w:val="24"/>
          <w:szCs w:val="24"/>
        </w:rPr>
        <w:t xml:space="preserve"> and </w:t>
      </w:r>
      <w:proofErr w:type="spellStart"/>
      <w:r w:rsidRPr="003421A9">
        <w:rPr>
          <w:rFonts w:ascii="Times New Roman" w:eastAsia="Arial Unicode MS" w:hAnsi="Times New Roman" w:cs="Times New Roman"/>
          <w:sz w:val="24"/>
          <w:szCs w:val="24"/>
        </w:rPr>
        <w:t>Hanbali</w:t>
      </w:r>
      <w:proofErr w:type="spellEnd"/>
      <w:r w:rsidRPr="003421A9">
        <w:rPr>
          <w:rFonts w:ascii="Times New Roman" w:eastAsia="Arial Unicode MS" w:hAnsi="Times New Roman" w:cs="Times New Roman"/>
          <w:sz w:val="24"/>
          <w:szCs w:val="24"/>
        </w:rPr>
        <w:t xml:space="preserve"> </w:t>
      </w:r>
      <w:r w:rsidRPr="003421A9">
        <w:rPr>
          <w:rFonts w:ascii="Times New Roman" w:eastAsia="Arial Unicode MS" w:hAnsi="Times New Roman" w:cs="Times New Roman"/>
          <w:i/>
          <w:sz w:val="24"/>
          <w:szCs w:val="24"/>
        </w:rPr>
        <w:t>madhab</w:t>
      </w:r>
      <w:r w:rsidRPr="003421A9">
        <w:rPr>
          <w:rFonts w:ascii="Times New Roman" w:eastAsia="Arial Unicode MS" w:hAnsi="Times New Roman" w:cs="Times New Roman"/>
          <w:sz w:val="24"/>
          <w:szCs w:val="24"/>
        </w:rPr>
        <w:t xml:space="preserve">s in particular), along with their influence on the legal order and the main imams and </w:t>
      </w:r>
      <w:proofErr w:type="spellStart"/>
      <w:r w:rsidRPr="003421A9">
        <w:rPr>
          <w:rFonts w:ascii="Times New Roman" w:eastAsia="Arial Unicode MS" w:hAnsi="Times New Roman" w:cs="Times New Roman"/>
          <w:i/>
          <w:sz w:val="24"/>
          <w:szCs w:val="24"/>
        </w:rPr>
        <w:t>fuqah</w:t>
      </w:r>
      <w:r w:rsidRPr="003421A9">
        <w:rPr>
          <w:rFonts w:ascii="Times New Roman" w:eastAsia="Arial Unicode MS" w:hAnsi="Times New Roman" w:cs="Times New Roman"/>
          <w:i/>
          <w:iCs/>
          <w:sz w:val="24"/>
          <w:szCs w:val="24"/>
        </w:rPr>
        <w:t>a</w:t>
      </w:r>
      <w:proofErr w:type="spellEnd"/>
      <w:r w:rsidRPr="003421A9">
        <w:rPr>
          <w:rFonts w:ascii="Times New Roman" w:eastAsia="Arial Unicode MS" w:hAnsi="Times New Roman" w:cs="Times New Roman"/>
          <w:i/>
          <w:sz w:val="24"/>
          <w:szCs w:val="24"/>
        </w:rPr>
        <w:t xml:space="preserve">' </w:t>
      </w:r>
      <w:r w:rsidRPr="003421A9">
        <w:rPr>
          <w:rFonts w:ascii="Times New Roman" w:eastAsia="Arial Unicode MS" w:hAnsi="Times New Roman" w:cs="Times New Roman"/>
          <w:sz w:val="24"/>
          <w:szCs w:val="24"/>
        </w:rPr>
        <w:t>(legal scholars) of each school.</w:t>
      </w:r>
    </w:p>
    <w:p w:rsidR="00322404" w:rsidRPr="003421A9" w:rsidRDefault="00322404" w:rsidP="00322404">
      <w:pPr>
        <w:spacing w:after="0" w:line="480" w:lineRule="auto"/>
        <w:jc w:val="both"/>
        <w:rPr>
          <w:rFonts w:ascii="Times New Roman" w:eastAsia="Arial Unicode MS" w:hAnsi="Times New Roman" w:cs="Times New Roman"/>
          <w:sz w:val="24"/>
          <w:szCs w:val="24"/>
        </w:rPr>
      </w:pPr>
      <w:bookmarkStart w:id="0" w:name="_GoBack"/>
      <w:bookmarkEnd w:id="0"/>
    </w:p>
    <w:p w:rsidR="00322404" w:rsidRPr="003421A9" w:rsidRDefault="00322404" w:rsidP="00322404">
      <w:pPr>
        <w:spacing w:after="0" w:line="480" w:lineRule="auto"/>
        <w:jc w:val="both"/>
        <w:rPr>
          <w:rFonts w:ascii="Times New Roman" w:eastAsia="Arial Unicode MS" w:hAnsi="Times New Roman" w:cs="Times New Roman"/>
          <w:sz w:val="24"/>
          <w:szCs w:val="24"/>
        </w:rPr>
      </w:pPr>
      <w:r w:rsidRPr="003421A9">
        <w:rPr>
          <w:rFonts w:ascii="Times New Roman" w:eastAsia="Arial Unicode MS" w:hAnsi="Times New Roman" w:cs="Times New Roman"/>
          <w:sz w:val="24"/>
          <w:szCs w:val="24"/>
        </w:rPr>
        <w:lastRenderedPageBreak/>
        <w:t xml:space="preserve">The second chapter of the book, which is more substantial than the first, focuses on the fields of Islamic law and the organisation of the state. Personal status law, family law and inheritance law are described in detail and the principles governing contracts, foundations and corporations are provided. The judicial system in general, the </w:t>
      </w:r>
      <w:proofErr w:type="spellStart"/>
      <w:r w:rsidRPr="003421A9">
        <w:rPr>
          <w:rFonts w:ascii="Times New Roman" w:eastAsia="Arial Unicode MS" w:hAnsi="Times New Roman" w:cs="Times New Roman"/>
          <w:i/>
          <w:sz w:val="24"/>
          <w:szCs w:val="24"/>
        </w:rPr>
        <w:t>qadi</w:t>
      </w:r>
      <w:r w:rsidRPr="003421A9">
        <w:rPr>
          <w:rFonts w:ascii="Times New Roman" w:eastAsia="Arial Unicode MS" w:hAnsi="Times New Roman" w:cs="Times New Roman"/>
          <w:sz w:val="24"/>
          <w:szCs w:val="24"/>
        </w:rPr>
        <w:t>s</w:t>
      </w:r>
      <w:proofErr w:type="spellEnd"/>
      <w:r w:rsidRPr="003421A9">
        <w:rPr>
          <w:rFonts w:ascii="Times New Roman" w:eastAsia="Arial Unicode MS" w:hAnsi="Times New Roman" w:cs="Times New Roman"/>
          <w:sz w:val="24"/>
          <w:szCs w:val="24"/>
        </w:rPr>
        <w:t xml:space="preserve"> (judges), legal actions, rules of evidence and presumptions are explained under procedural law, whereas under </w:t>
      </w:r>
      <w:r w:rsidRPr="003421A9">
        <w:rPr>
          <w:rFonts w:ascii="Times New Roman" w:eastAsia="Arial Unicode MS" w:hAnsi="Times New Roman" w:cs="Times New Roman"/>
          <w:i/>
          <w:iCs/>
          <w:sz w:val="24"/>
          <w:szCs w:val="24"/>
        </w:rPr>
        <w:t>‘</w:t>
      </w:r>
      <w:proofErr w:type="spellStart"/>
      <w:r w:rsidRPr="003421A9">
        <w:rPr>
          <w:rFonts w:ascii="Times New Roman" w:eastAsia="Arial Unicode MS" w:hAnsi="Times New Roman" w:cs="Times New Roman"/>
          <w:i/>
          <w:sz w:val="24"/>
          <w:szCs w:val="24"/>
        </w:rPr>
        <w:t>uqubat</w:t>
      </w:r>
      <w:proofErr w:type="spellEnd"/>
      <w:r w:rsidRPr="003421A9">
        <w:rPr>
          <w:rFonts w:ascii="Times New Roman" w:eastAsia="Arial Unicode MS" w:hAnsi="Times New Roman" w:cs="Times New Roman"/>
          <w:sz w:val="24"/>
          <w:szCs w:val="24"/>
        </w:rPr>
        <w:t xml:space="preserve"> (Islamic criminal law) the fundamentals of </w:t>
      </w:r>
      <w:proofErr w:type="spellStart"/>
      <w:r w:rsidRPr="003421A9">
        <w:rPr>
          <w:rFonts w:ascii="Times New Roman" w:eastAsia="Arial Unicode MS" w:hAnsi="Times New Roman" w:cs="Times New Roman"/>
          <w:i/>
          <w:sz w:val="24"/>
          <w:szCs w:val="24"/>
        </w:rPr>
        <w:t>hadd</w:t>
      </w:r>
      <w:proofErr w:type="spellEnd"/>
      <w:r w:rsidRPr="003421A9">
        <w:rPr>
          <w:rFonts w:ascii="Times New Roman" w:eastAsia="Arial Unicode MS" w:hAnsi="Times New Roman" w:cs="Times New Roman"/>
          <w:sz w:val="24"/>
          <w:szCs w:val="24"/>
        </w:rPr>
        <w:t xml:space="preserve"> (punishment) and the main sanctions, including </w:t>
      </w:r>
      <w:proofErr w:type="spellStart"/>
      <w:r w:rsidRPr="003421A9">
        <w:rPr>
          <w:rFonts w:ascii="Times New Roman" w:eastAsia="Arial Unicode MS" w:hAnsi="Times New Roman" w:cs="Times New Roman"/>
          <w:i/>
          <w:sz w:val="24"/>
          <w:szCs w:val="24"/>
        </w:rPr>
        <w:t>qisas</w:t>
      </w:r>
      <w:proofErr w:type="spellEnd"/>
      <w:r w:rsidRPr="003421A9">
        <w:rPr>
          <w:rFonts w:ascii="Times New Roman" w:eastAsia="Arial Unicode MS" w:hAnsi="Times New Roman" w:cs="Times New Roman"/>
          <w:sz w:val="24"/>
          <w:szCs w:val="24"/>
        </w:rPr>
        <w:t xml:space="preserve"> (retaliation) and </w:t>
      </w:r>
      <w:proofErr w:type="spellStart"/>
      <w:r w:rsidRPr="003421A9">
        <w:rPr>
          <w:rFonts w:ascii="Times New Roman" w:eastAsia="Arial Unicode MS" w:hAnsi="Times New Roman" w:cs="Times New Roman"/>
          <w:i/>
          <w:sz w:val="24"/>
          <w:szCs w:val="24"/>
        </w:rPr>
        <w:t>diyah</w:t>
      </w:r>
      <w:proofErr w:type="spellEnd"/>
      <w:r w:rsidRPr="003421A9">
        <w:rPr>
          <w:rFonts w:ascii="Times New Roman" w:eastAsia="Arial Unicode MS" w:hAnsi="Times New Roman" w:cs="Times New Roman"/>
          <w:sz w:val="24"/>
          <w:szCs w:val="24"/>
        </w:rPr>
        <w:t xml:space="preserve"> (compensation), are analysed. The language used in the second chapter is clearer than in the first, and there is a short but useful glossary at the end, although it is not in alphabetical order. Overall, the book can be considered a useful and objective resource for gaining an insight into the fundamentals of </w:t>
      </w:r>
      <w:proofErr w:type="spellStart"/>
      <w:r w:rsidRPr="003421A9">
        <w:rPr>
          <w:rFonts w:ascii="Times New Roman" w:eastAsia="Arial Unicode MS" w:hAnsi="Times New Roman" w:cs="Times New Roman"/>
          <w:i/>
          <w:iCs/>
          <w:sz w:val="24"/>
          <w:szCs w:val="24"/>
        </w:rPr>
        <w:t>fiqh</w:t>
      </w:r>
      <w:proofErr w:type="spellEnd"/>
      <w:r w:rsidRPr="003421A9">
        <w:rPr>
          <w:rFonts w:ascii="Times New Roman" w:eastAsia="Arial Unicode MS" w:hAnsi="Times New Roman" w:cs="Times New Roman"/>
          <w:sz w:val="24"/>
          <w:szCs w:val="24"/>
        </w:rPr>
        <w:t xml:space="preserve"> and Islamic law.</w:t>
      </w:r>
    </w:p>
    <w:p w:rsidR="00322404" w:rsidRPr="003421A9" w:rsidRDefault="00322404" w:rsidP="00322404">
      <w:pPr>
        <w:spacing w:after="0" w:line="480" w:lineRule="auto"/>
        <w:rPr>
          <w:rFonts w:ascii="Times New Roman" w:eastAsia="Arial Unicode MS" w:hAnsi="Times New Roman" w:cs="Times New Roman"/>
          <w:sz w:val="24"/>
          <w:szCs w:val="24"/>
        </w:rPr>
      </w:pPr>
    </w:p>
    <w:p w:rsidR="00322404" w:rsidRPr="003421A9" w:rsidRDefault="00322404" w:rsidP="00322404">
      <w:pPr>
        <w:spacing w:after="0" w:line="480" w:lineRule="auto"/>
        <w:jc w:val="right"/>
        <w:rPr>
          <w:rFonts w:ascii="Times New Roman" w:hAnsi="Times New Roman" w:cs="Times New Roman"/>
          <w:sz w:val="24"/>
          <w:szCs w:val="24"/>
          <w:lang w:val="tr-TR"/>
        </w:rPr>
      </w:pPr>
      <w:proofErr w:type="spellStart"/>
      <w:r w:rsidRPr="003421A9">
        <w:rPr>
          <w:rFonts w:ascii="Times New Roman" w:eastAsia="Arial Unicode MS" w:hAnsi="Times New Roman" w:cs="Times New Roman"/>
          <w:sz w:val="24"/>
          <w:szCs w:val="24"/>
        </w:rPr>
        <w:t>Ceren</w:t>
      </w:r>
      <w:proofErr w:type="spellEnd"/>
      <w:r w:rsidRPr="003421A9">
        <w:rPr>
          <w:rFonts w:ascii="Times New Roman" w:eastAsia="Arial Unicode MS" w:hAnsi="Times New Roman" w:cs="Times New Roman"/>
          <w:sz w:val="24"/>
          <w:szCs w:val="24"/>
        </w:rPr>
        <w:t xml:space="preserve"> </w:t>
      </w:r>
      <w:proofErr w:type="spellStart"/>
      <w:r w:rsidRPr="003421A9">
        <w:rPr>
          <w:rFonts w:ascii="Times New Roman" w:eastAsia="Arial Unicode MS" w:hAnsi="Times New Roman" w:cs="Times New Roman"/>
          <w:sz w:val="24"/>
          <w:szCs w:val="24"/>
        </w:rPr>
        <w:t>Ünal</w:t>
      </w:r>
      <w:proofErr w:type="spellEnd"/>
    </w:p>
    <w:p w:rsidR="009A0E2D" w:rsidRDefault="003105E9"/>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F3A"/>
    <w:rsid w:val="000071C0"/>
    <w:rsid w:val="00083E80"/>
    <w:rsid w:val="003105E9"/>
    <w:rsid w:val="00322404"/>
    <w:rsid w:val="006C6B50"/>
    <w:rsid w:val="00791238"/>
    <w:rsid w:val="009C26E2"/>
    <w:rsid w:val="00DE3F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404"/>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404"/>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1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1873</Characters>
  <Application>Microsoft Office Word</Application>
  <DocSecurity>0</DocSecurity>
  <Lines>15</Lines>
  <Paragraphs>4</Paragraphs>
  <ScaleCrop>false</ScaleCrop>
  <Company>Microsoft</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2015-02-23T13:08:00Z</dcterms:created>
  <dcterms:modified xsi:type="dcterms:W3CDTF">2015-06-11T11:39:00Z</dcterms:modified>
</cp:coreProperties>
</file>