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CA" w:rsidRPr="003B401C" w:rsidRDefault="00DC75CA" w:rsidP="00DC75CA">
      <w:pPr>
        <w:spacing w:after="0" w:line="480" w:lineRule="auto"/>
        <w:rPr>
          <w:rFonts w:ascii="Times New Roman" w:hAnsi="Times New Roman" w:cs="Times New Roman"/>
          <w:sz w:val="24"/>
          <w:szCs w:val="24"/>
          <w:lang w:val="en-US"/>
        </w:rPr>
      </w:pPr>
      <w:r w:rsidRPr="003B401C">
        <w:rPr>
          <w:rFonts w:ascii="Times New Roman" w:hAnsi="Times New Roman" w:cs="Times New Roman"/>
          <w:sz w:val="24"/>
          <w:szCs w:val="24"/>
          <w:lang w:val="en-US"/>
        </w:rPr>
        <w:t xml:space="preserve">Husain, </w:t>
      </w:r>
      <w:r w:rsidRPr="003B401C">
        <w:rPr>
          <w:rFonts w:ascii="Times New Roman" w:hAnsi="Times New Roman" w:cs="Times New Roman"/>
          <w:sz w:val="24"/>
          <w:szCs w:val="24"/>
        </w:rPr>
        <w:t xml:space="preserve">S. </w:t>
      </w:r>
      <w:r w:rsidRPr="003B401C">
        <w:rPr>
          <w:rFonts w:ascii="Times New Roman" w:hAnsi="Times New Roman" w:cs="Times New Roman"/>
          <w:sz w:val="24"/>
          <w:szCs w:val="24"/>
          <w:lang w:val="en-US"/>
        </w:rPr>
        <w:t xml:space="preserve">Athar. </w:t>
      </w:r>
      <w:r w:rsidRPr="003B401C">
        <w:rPr>
          <w:rFonts w:ascii="Times New Roman" w:hAnsi="Times New Roman" w:cs="Times New Roman"/>
          <w:i/>
          <w:iCs/>
          <w:sz w:val="24"/>
          <w:szCs w:val="24"/>
          <w:lang w:val="en-US"/>
        </w:rPr>
        <w:t>Muslim Personal Law: an Exposition</w:t>
      </w:r>
      <w:r w:rsidRPr="003B401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Lucknow</w:t>
      </w:r>
      <w:proofErr w:type="spellEnd"/>
      <w:r>
        <w:rPr>
          <w:rFonts w:ascii="Times New Roman" w:hAnsi="Times New Roman" w:cs="Times New Roman"/>
          <w:sz w:val="24"/>
          <w:szCs w:val="24"/>
          <w:lang w:val="en-US"/>
        </w:rPr>
        <w:t xml:space="preserve">: </w:t>
      </w:r>
      <w:r w:rsidRPr="003B401C">
        <w:rPr>
          <w:rFonts w:ascii="Times New Roman" w:hAnsi="Times New Roman" w:cs="Times New Roman"/>
          <w:sz w:val="24"/>
          <w:szCs w:val="24"/>
          <w:lang w:val="en-US"/>
        </w:rPr>
        <w:t>All India Muslim Personal Law Board, 1989, 230</w:t>
      </w:r>
      <w:r>
        <w:rPr>
          <w:rFonts w:ascii="Times New Roman" w:hAnsi="Times New Roman" w:cs="Times New Roman"/>
          <w:sz w:val="24"/>
          <w:szCs w:val="24"/>
          <w:lang w:val="en-US"/>
        </w:rPr>
        <w:t>pp</w:t>
      </w:r>
      <w:bookmarkStart w:id="0" w:name="_GoBack"/>
      <w:bookmarkEnd w:id="0"/>
      <w:r>
        <w:rPr>
          <w:rFonts w:ascii="Times New Roman" w:hAnsi="Times New Roman" w:cs="Times New Roman"/>
          <w:sz w:val="24"/>
          <w:szCs w:val="24"/>
          <w:lang w:val="en-US"/>
        </w:rPr>
        <w:t>.</w:t>
      </w:r>
    </w:p>
    <w:p w:rsidR="00C20F39" w:rsidRPr="003421A9" w:rsidRDefault="00C20F39" w:rsidP="00C20F39">
      <w:pPr>
        <w:spacing w:after="0" w:line="480" w:lineRule="auto"/>
        <w:rPr>
          <w:rFonts w:ascii="Times New Roman" w:hAnsi="Times New Roman" w:cs="Times New Roman"/>
          <w:sz w:val="24"/>
          <w:szCs w:val="24"/>
          <w:lang w:val="en-US"/>
        </w:rPr>
      </w:pPr>
    </w:p>
    <w:p w:rsidR="00C20F39" w:rsidRPr="0074360C" w:rsidRDefault="00C20F39" w:rsidP="00C20F39">
      <w:pPr>
        <w:spacing w:after="0" w:line="480" w:lineRule="auto"/>
        <w:jc w:val="center"/>
        <w:rPr>
          <w:rFonts w:ascii="Times New Roman" w:hAnsi="Times New Roman" w:cs="Times New Roman"/>
          <w:b/>
          <w:bCs/>
          <w:sz w:val="24"/>
          <w:szCs w:val="24"/>
          <w:lang w:val="en-US"/>
        </w:rPr>
      </w:pPr>
      <w:r w:rsidRPr="0074360C">
        <w:rPr>
          <w:rFonts w:ascii="Times New Roman" w:hAnsi="Times New Roman" w:cs="Times New Roman"/>
          <w:b/>
          <w:bCs/>
          <w:sz w:val="24"/>
          <w:szCs w:val="24"/>
          <w:lang w:val="en-US"/>
        </w:rPr>
        <w:t>ABSTRACT</w:t>
      </w:r>
    </w:p>
    <w:p w:rsidR="00C20F39" w:rsidRPr="003421A9" w:rsidRDefault="00C20F39" w:rsidP="00C20F39">
      <w:pPr>
        <w:spacing w:after="0" w:line="480" w:lineRule="auto"/>
        <w:jc w:val="center"/>
        <w:rPr>
          <w:rFonts w:ascii="Times New Roman" w:hAnsi="Times New Roman" w:cs="Times New Roman"/>
          <w:b/>
          <w:bCs/>
          <w:sz w:val="24"/>
          <w:szCs w:val="24"/>
          <w:lang w:val="en-US"/>
        </w:rPr>
      </w:pPr>
    </w:p>
    <w:p w:rsidR="00C20F39" w:rsidRPr="003421A9" w:rsidRDefault="00C20F39" w:rsidP="00C20F39">
      <w:pPr>
        <w:spacing w:after="0" w:line="480" w:lineRule="auto"/>
        <w:jc w:val="center"/>
        <w:rPr>
          <w:rFonts w:ascii="Times New Roman" w:hAnsi="Times New Roman" w:cs="Times New Roman"/>
          <w:b/>
          <w:iCs/>
          <w:sz w:val="24"/>
          <w:szCs w:val="24"/>
          <w:lang w:val="en-US"/>
        </w:rPr>
      </w:pPr>
      <w:r w:rsidRPr="003421A9">
        <w:rPr>
          <w:rFonts w:ascii="Times New Roman" w:hAnsi="Times New Roman" w:cs="Times New Roman"/>
          <w:b/>
          <w:iCs/>
          <w:sz w:val="24"/>
          <w:szCs w:val="24"/>
          <w:lang w:val="en-US"/>
        </w:rPr>
        <w:t>Muslim Personal Law: an Exposition</w:t>
      </w:r>
    </w:p>
    <w:p w:rsidR="00C20F39" w:rsidRPr="003421A9" w:rsidRDefault="00C20F39" w:rsidP="00C20F39">
      <w:pPr>
        <w:spacing w:after="0" w:line="480" w:lineRule="auto"/>
        <w:jc w:val="center"/>
        <w:rPr>
          <w:rFonts w:ascii="Times New Roman" w:hAnsi="Times New Roman" w:cs="Times New Roman"/>
          <w:sz w:val="24"/>
          <w:szCs w:val="24"/>
          <w:lang w:val="tr-TR"/>
        </w:rPr>
      </w:pPr>
    </w:p>
    <w:p w:rsidR="00C20F39" w:rsidRPr="003421A9" w:rsidRDefault="00C20F39" w:rsidP="00C20F39">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This book is primarily concerned with Muslim personal law; however other themes are also dealt with. The book has three parts, the first of which is a long introduction in which S. Athar Husain briefly discusses the historical development of Muslim personal law, the status of women and the role of human rights within Islam. The two last sections of this part are devoted respectively to the </w:t>
      </w:r>
      <w:r w:rsidRPr="003421A9">
        <w:rPr>
          <w:rFonts w:ascii="Times New Roman" w:hAnsi="Times New Roman" w:cs="Times New Roman"/>
          <w:i/>
          <w:iCs/>
          <w:sz w:val="24"/>
          <w:szCs w:val="24"/>
          <w:lang w:val="en-US"/>
        </w:rPr>
        <w:t xml:space="preserve">jihad </w:t>
      </w:r>
      <w:r w:rsidRPr="003421A9">
        <w:rPr>
          <w:rFonts w:ascii="Times New Roman" w:hAnsi="Times New Roman" w:cs="Times New Roman"/>
          <w:sz w:val="24"/>
          <w:szCs w:val="24"/>
          <w:lang w:val="en-US"/>
        </w:rPr>
        <w:t xml:space="preserve">and the </w:t>
      </w:r>
      <w:r w:rsidRPr="003421A9">
        <w:rPr>
          <w:rFonts w:ascii="Times New Roman" w:hAnsi="Times New Roman" w:cs="Times New Roman"/>
          <w:i/>
          <w:iCs/>
          <w:sz w:val="24"/>
          <w:szCs w:val="24"/>
          <w:lang w:val="en-US"/>
        </w:rPr>
        <w:t>zakat</w:t>
      </w:r>
      <w:r w:rsidRPr="003421A9">
        <w:rPr>
          <w:rFonts w:ascii="Times New Roman" w:hAnsi="Times New Roman" w:cs="Times New Roman"/>
          <w:sz w:val="24"/>
          <w:szCs w:val="24"/>
          <w:lang w:val="en-US"/>
        </w:rPr>
        <w:t xml:space="preserve">. The holy war and almsgiving are not technically part of Muslim </w:t>
      </w:r>
      <w:r w:rsidRPr="003421A9">
        <w:rPr>
          <w:rFonts w:ascii="Times New Roman" w:hAnsi="Times New Roman" w:cs="Times New Roman"/>
          <w:sz w:val="24"/>
          <w:szCs w:val="24"/>
        </w:rPr>
        <w:t>personal</w:t>
      </w:r>
      <w:r w:rsidRPr="003421A9">
        <w:rPr>
          <w:rFonts w:ascii="Times New Roman" w:hAnsi="Times New Roman" w:cs="Times New Roman"/>
          <w:sz w:val="24"/>
          <w:szCs w:val="24"/>
          <w:lang w:val="en-US"/>
        </w:rPr>
        <w:t xml:space="preserve"> law, but Husain has presented them here as crucial aspects of the evolution of Islamic jurisprudence. </w:t>
      </w:r>
    </w:p>
    <w:p w:rsidR="00C20F39" w:rsidRPr="003421A9" w:rsidRDefault="00C20F39" w:rsidP="00C20F39">
      <w:pPr>
        <w:spacing w:after="0" w:line="480" w:lineRule="auto"/>
        <w:jc w:val="both"/>
        <w:rPr>
          <w:rFonts w:ascii="Times New Roman" w:hAnsi="Times New Roman" w:cs="Times New Roman"/>
          <w:sz w:val="24"/>
          <w:szCs w:val="24"/>
          <w:lang w:val="en-US"/>
        </w:rPr>
      </w:pPr>
    </w:p>
    <w:p w:rsidR="00C20F39" w:rsidRPr="003421A9" w:rsidRDefault="00C20F39" w:rsidP="00C20F39">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The second part, the longest, deals with the principal Muslim institutions: marriage, divorce, </w:t>
      </w:r>
      <w:proofErr w:type="spellStart"/>
      <w:r w:rsidRPr="003421A9">
        <w:rPr>
          <w:rFonts w:ascii="Times New Roman" w:hAnsi="Times New Roman" w:cs="Times New Roman"/>
          <w:i/>
          <w:sz w:val="24"/>
          <w:szCs w:val="24"/>
          <w:lang w:val="en-US"/>
        </w:rPr>
        <w:t>hiba</w:t>
      </w:r>
      <w:proofErr w:type="spellEnd"/>
      <w:r w:rsidRPr="003421A9">
        <w:rPr>
          <w:rFonts w:ascii="Times New Roman" w:hAnsi="Times New Roman" w:cs="Times New Roman"/>
          <w:sz w:val="24"/>
          <w:szCs w:val="24"/>
          <w:lang w:val="en-US"/>
        </w:rPr>
        <w:t xml:space="preserve">, </w:t>
      </w:r>
      <w:proofErr w:type="spellStart"/>
      <w:r w:rsidRPr="003421A9">
        <w:rPr>
          <w:rFonts w:ascii="Times New Roman" w:hAnsi="Times New Roman" w:cs="Times New Roman"/>
          <w:i/>
          <w:sz w:val="24"/>
          <w:szCs w:val="24"/>
          <w:lang w:val="en-US"/>
        </w:rPr>
        <w:t>wasiyat</w:t>
      </w:r>
      <w:proofErr w:type="spellEnd"/>
      <w:r w:rsidRPr="003421A9">
        <w:rPr>
          <w:rFonts w:ascii="Times New Roman" w:hAnsi="Times New Roman" w:cs="Times New Roman"/>
          <w:sz w:val="24"/>
          <w:szCs w:val="24"/>
          <w:lang w:val="en-US"/>
        </w:rPr>
        <w:t xml:space="preserve"> and </w:t>
      </w:r>
      <w:proofErr w:type="spellStart"/>
      <w:r w:rsidRPr="003421A9">
        <w:rPr>
          <w:rFonts w:ascii="Times New Roman" w:hAnsi="Times New Roman" w:cs="Times New Roman"/>
          <w:i/>
          <w:sz w:val="24"/>
          <w:szCs w:val="24"/>
          <w:lang w:val="en-US"/>
        </w:rPr>
        <w:t>wakf</w:t>
      </w:r>
      <w:proofErr w:type="spellEnd"/>
      <w:r w:rsidRPr="003421A9">
        <w:rPr>
          <w:rFonts w:ascii="Times New Roman" w:hAnsi="Times New Roman" w:cs="Times New Roman"/>
          <w:sz w:val="24"/>
          <w:szCs w:val="24"/>
          <w:lang w:val="en-US"/>
        </w:rPr>
        <w:t>. The third and concluding part is a short essay on Islam’s contribution to the present-day world.</w:t>
      </w:r>
    </w:p>
    <w:p w:rsidR="00C20F39" w:rsidRPr="003421A9" w:rsidRDefault="00C20F39" w:rsidP="00C20F39">
      <w:pPr>
        <w:spacing w:after="0" w:line="480" w:lineRule="auto"/>
        <w:jc w:val="both"/>
        <w:rPr>
          <w:rFonts w:ascii="Times New Roman" w:hAnsi="Times New Roman" w:cs="Times New Roman"/>
          <w:sz w:val="24"/>
          <w:szCs w:val="24"/>
          <w:lang w:val="en-US"/>
        </w:rPr>
      </w:pPr>
    </w:p>
    <w:p w:rsidR="00C20F39" w:rsidRPr="003421A9" w:rsidRDefault="00C20F39" w:rsidP="00C20F39">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This book is written for a general readership, but the constant references to Qur’anic verses may present a challenge to non-</w:t>
      </w:r>
      <w:proofErr w:type="spellStart"/>
      <w:r w:rsidRPr="003421A9">
        <w:rPr>
          <w:rFonts w:ascii="Times New Roman" w:hAnsi="Times New Roman" w:cs="Times New Roman"/>
          <w:sz w:val="24"/>
          <w:szCs w:val="24"/>
          <w:lang w:val="en-US"/>
        </w:rPr>
        <w:t>specialised</w:t>
      </w:r>
      <w:proofErr w:type="spellEnd"/>
      <w:r w:rsidRPr="003421A9">
        <w:rPr>
          <w:rFonts w:ascii="Times New Roman" w:hAnsi="Times New Roman" w:cs="Times New Roman"/>
          <w:sz w:val="24"/>
          <w:szCs w:val="24"/>
          <w:lang w:val="en-US"/>
        </w:rPr>
        <w:t xml:space="preserve"> readers. Moreover, the book has some flaws in its explanation of Muslims law in the Indian context, which is </w:t>
      </w:r>
      <w:proofErr w:type="spellStart"/>
      <w:r w:rsidRPr="003421A9">
        <w:rPr>
          <w:rFonts w:ascii="Times New Roman" w:hAnsi="Times New Roman" w:cs="Times New Roman"/>
          <w:sz w:val="24"/>
          <w:szCs w:val="24"/>
          <w:lang w:val="en-US"/>
        </w:rPr>
        <w:t>characterised</w:t>
      </w:r>
      <w:proofErr w:type="spellEnd"/>
      <w:r w:rsidRPr="003421A9">
        <w:rPr>
          <w:rFonts w:ascii="Times New Roman" w:hAnsi="Times New Roman" w:cs="Times New Roman"/>
          <w:sz w:val="24"/>
          <w:szCs w:val="24"/>
          <w:lang w:val="en-US"/>
        </w:rPr>
        <w:t xml:space="preserve"> by the co-existence of different communities. For instance, Husain fails to provide a convincing explanation of why Muslim law in India should not be reformed. Also, Husain’s tone is sometimes </w:t>
      </w:r>
      <w:r w:rsidRPr="003421A9">
        <w:rPr>
          <w:rFonts w:ascii="Times New Roman" w:hAnsi="Times New Roman" w:cs="Times New Roman"/>
          <w:sz w:val="24"/>
          <w:szCs w:val="24"/>
          <w:lang w:val="en-US"/>
        </w:rPr>
        <w:lastRenderedPageBreak/>
        <w:t xml:space="preserve">apologetic rather than explicative; this undermines the objectivity of the work and its intention to elucidate some aspects of Muslim law. </w:t>
      </w:r>
    </w:p>
    <w:p w:rsidR="00C20F39" w:rsidRPr="003421A9" w:rsidRDefault="00C20F39" w:rsidP="00C20F39">
      <w:pPr>
        <w:spacing w:after="0" w:line="480" w:lineRule="auto"/>
        <w:jc w:val="both"/>
        <w:rPr>
          <w:rFonts w:ascii="Times New Roman" w:hAnsi="Times New Roman" w:cs="Times New Roman"/>
          <w:sz w:val="24"/>
          <w:szCs w:val="24"/>
          <w:lang w:val="en-US"/>
        </w:rPr>
      </w:pPr>
    </w:p>
    <w:p w:rsidR="00C20F39" w:rsidRPr="003421A9" w:rsidRDefault="00C20F39" w:rsidP="00C20F39">
      <w:pPr>
        <w:spacing w:after="0" w:line="480" w:lineRule="auto"/>
        <w:jc w:val="right"/>
        <w:rPr>
          <w:rFonts w:ascii="Times New Roman" w:hAnsi="Times New Roman" w:cs="Times New Roman"/>
          <w:sz w:val="24"/>
          <w:szCs w:val="24"/>
          <w:lang w:val="en-US"/>
        </w:rPr>
      </w:pPr>
      <w:proofErr w:type="spellStart"/>
      <w:r w:rsidRPr="003421A9">
        <w:rPr>
          <w:rFonts w:ascii="Times New Roman" w:hAnsi="Times New Roman" w:cs="Times New Roman"/>
          <w:sz w:val="24"/>
          <w:szCs w:val="24"/>
          <w:lang w:val="en-US"/>
        </w:rPr>
        <w:t>Antonella</w:t>
      </w:r>
      <w:proofErr w:type="spellEnd"/>
      <w:r w:rsidRPr="003421A9">
        <w:rPr>
          <w:rFonts w:ascii="Times New Roman" w:hAnsi="Times New Roman" w:cs="Times New Roman"/>
          <w:sz w:val="24"/>
          <w:szCs w:val="24"/>
          <w:lang w:val="en-US"/>
        </w:rPr>
        <w:t xml:space="preserve"> Viola</w:t>
      </w:r>
    </w:p>
    <w:p w:rsidR="00C20F39" w:rsidRPr="003421A9" w:rsidRDefault="00C20F39" w:rsidP="00C20F39">
      <w:pPr>
        <w:spacing w:after="0" w:line="480" w:lineRule="auto"/>
        <w:rPr>
          <w:rFonts w:ascii="Times New Roman" w:hAnsi="Times New Roman" w:cs="Times New Roman"/>
          <w:sz w:val="24"/>
          <w:szCs w:val="24"/>
          <w:lang w:val="tr-TR"/>
        </w:rPr>
      </w:pPr>
    </w:p>
    <w:p w:rsidR="00C20F39" w:rsidRPr="003421A9" w:rsidRDefault="00C20F39" w:rsidP="00C20F39">
      <w:pPr>
        <w:spacing w:after="0" w:line="480" w:lineRule="auto"/>
        <w:rPr>
          <w:rFonts w:ascii="Times New Roman" w:hAnsi="Times New Roman" w:cs="Times New Roman"/>
          <w:sz w:val="24"/>
          <w:szCs w:val="24"/>
          <w:lang w:val="tr-TR"/>
        </w:rPr>
      </w:pPr>
    </w:p>
    <w:p w:rsidR="009A0E2D" w:rsidRDefault="00DC75CA"/>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6A"/>
    <w:rsid w:val="000071C0"/>
    <w:rsid w:val="00083E80"/>
    <w:rsid w:val="00287C6A"/>
    <w:rsid w:val="006C6B50"/>
    <w:rsid w:val="0074360C"/>
    <w:rsid w:val="00791238"/>
    <w:rsid w:val="00C20F39"/>
    <w:rsid w:val="00DC75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3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3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Company>Microsoft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2015-02-23T15:12:00Z</dcterms:created>
  <dcterms:modified xsi:type="dcterms:W3CDTF">2015-06-10T15:29:00Z</dcterms:modified>
</cp:coreProperties>
</file>