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30" w:rsidRPr="005B0948" w:rsidRDefault="007A1130" w:rsidP="007A1130">
      <w:pPr>
        <w:bidi/>
        <w:spacing w:after="0" w:line="480" w:lineRule="auto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5B0948">
        <w:rPr>
          <w:rFonts w:asciiTheme="majorBidi" w:hAnsiTheme="majorBidi" w:cstheme="majorBidi"/>
          <w:i/>
          <w:sz w:val="24"/>
          <w:szCs w:val="24"/>
          <w:rtl/>
          <w:lang w:bidi="ar-SY"/>
        </w:rPr>
        <w:t>ال</w:t>
      </w:r>
      <w:r w:rsidRPr="005B0948">
        <w:rPr>
          <w:rFonts w:asciiTheme="majorBidi" w:hAnsiTheme="majorBidi" w:cstheme="majorBidi"/>
          <w:i/>
          <w:sz w:val="24"/>
          <w:szCs w:val="24"/>
          <w:rtl/>
        </w:rPr>
        <w:t>قرضاوي، يوسف</w:t>
      </w:r>
      <w:r w:rsidRPr="005B0948">
        <w:rPr>
          <w:rFonts w:asciiTheme="majorBidi" w:hAnsiTheme="majorBidi" w:cstheme="majorBidi"/>
          <w:i/>
          <w:sz w:val="24"/>
          <w:szCs w:val="24"/>
          <w:rtl/>
          <w:lang w:bidi="fa-IR"/>
        </w:rPr>
        <w:t xml:space="preserve">. </w:t>
      </w:r>
      <w:r w:rsidRPr="005B0948">
        <w:rPr>
          <w:rFonts w:asciiTheme="majorBidi" w:hAnsiTheme="majorBidi" w:cstheme="majorBidi"/>
          <w:iCs/>
          <w:sz w:val="24"/>
          <w:szCs w:val="24"/>
          <w:rtl/>
        </w:rPr>
        <w:t xml:space="preserve">فقه الزكاة: دراسة مقارنة لأحكامها و فلسفتها في </w:t>
      </w:r>
      <w:r w:rsidRPr="005B0948">
        <w:rPr>
          <w:rFonts w:asciiTheme="majorBidi" w:hAnsiTheme="majorBidi" w:cstheme="majorBidi"/>
          <w:iCs/>
          <w:sz w:val="24"/>
          <w:szCs w:val="24"/>
          <w:rtl/>
          <w:lang w:bidi="ar-EG"/>
        </w:rPr>
        <w:t xml:space="preserve">ضوء </w:t>
      </w:r>
      <w:r w:rsidRPr="005B0948">
        <w:rPr>
          <w:rFonts w:asciiTheme="majorBidi" w:hAnsiTheme="majorBidi" w:cstheme="majorBidi"/>
          <w:iCs/>
          <w:sz w:val="24"/>
          <w:szCs w:val="24"/>
          <w:rtl/>
        </w:rPr>
        <w:t>القرآن و السنة</w:t>
      </w:r>
      <w:r w:rsidRPr="005B0948">
        <w:rPr>
          <w:rFonts w:asciiTheme="majorBidi" w:hAnsiTheme="majorBidi" w:cstheme="majorBidi"/>
          <w:i/>
          <w:sz w:val="24"/>
          <w:szCs w:val="24"/>
          <w:rtl/>
        </w:rPr>
        <w:t>. بيروت: مؤسسة الرسالة، ١٤١٢/ ١٩٩١</w:t>
      </w:r>
      <w:r w:rsidRPr="005B0948">
        <w:rPr>
          <w:rFonts w:asciiTheme="majorBidi" w:hAnsiTheme="majorBidi" w:cstheme="majorBidi"/>
          <w:i/>
          <w:sz w:val="24"/>
          <w:szCs w:val="24"/>
          <w:rtl/>
          <w:lang w:bidi="ar-EG"/>
        </w:rPr>
        <w:t>،</w:t>
      </w:r>
      <w:r w:rsidRPr="005B0948">
        <w:rPr>
          <w:rFonts w:asciiTheme="majorBidi" w:hAnsiTheme="majorBidi" w:cstheme="majorBidi"/>
          <w:i/>
          <w:sz w:val="24"/>
          <w:szCs w:val="24"/>
          <w:rtl/>
        </w:rPr>
        <w:t xml:space="preserve"> ١٢٢٧ ص.</w:t>
      </w:r>
    </w:p>
    <w:p w:rsidR="007A1130" w:rsidRPr="005B0948" w:rsidRDefault="007A1130" w:rsidP="007A1130">
      <w:pPr>
        <w:bidi/>
        <w:spacing w:after="0" w:line="480" w:lineRule="auto"/>
        <w:rPr>
          <w:rFonts w:asciiTheme="majorBidi" w:hAnsiTheme="majorBidi" w:cstheme="majorBidi"/>
          <w:i/>
          <w:sz w:val="24"/>
          <w:szCs w:val="24"/>
          <w:lang w:bidi="ar-SY"/>
        </w:rPr>
      </w:pPr>
    </w:p>
    <w:p w:rsidR="007A1130" w:rsidRPr="005B0948" w:rsidRDefault="007A1130" w:rsidP="007A1130">
      <w:pPr>
        <w:spacing w:after="0" w:line="480" w:lineRule="auto"/>
        <w:rPr>
          <w:rFonts w:asciiTheme="majorBidi" w:hAnsiTheme="majorBidi" w:cstheme="majorBidi"/>
          <w:i/>
          <w:sz w:val="24"/>
          <w:szCs w:val="24"/>
          <w:rtl/>
        </w:rPr>
      </w:pPr>
      <w:proofErr w:type="gramStart"/>
      <w:r w:rsidRPr="005B0948">
        <w:rPr>
          <w:rFonts w:asciiTheme="majorBidi" w:hAnsiTheme="majorBidi" w:cstheme="majorBidi"/>
          <w:iCs/>
          <w:sz w:val="24"/>
          <w:szCs w:val="24"/>
        </w:rPr>
        <w:t>Al-</w:t>
      </w:r>
      <w:proofErr w:type="spellStart"/>
      <w:r w:rsidRPr="005B0948">
        <w:rPr>
          <w:rFonts w:asciiTheme="majorBidi" w:hAnsiTheme="majorBidi" w:cstheme="majorBidi"/>
          <w:iCs/>
          <w:sz w:val="24"/>
          <w:szCs w:val="24"/>
        </w:rPr>
        <w:t>Qaradawi</w:t>
      </w:r>
      <w:proofErr w:type="spellEnd"/>
      <w:r w:rsidRPr="005B0948">
        <w:rPr>
          <w:rFonts w:asciiTheme="majorBidi" w:hAnsiTheme="majorBidi" w:cstheme="majorBidi"/>
          <w:iCs/>
          <w:sz w:val="24"/>
          <w:szCs w:val="24"/>
        </w:rPr>
        <w:t>, Yousef.</w:t>
      </w:r>
      <w:proofErr w:type="gramEnd"/>
      <w:r w:rsidRPr="005B09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B0948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al-Zakat: </w:t>
      </w:r>
      <w:proofErr w:type="spellStart"/>
      <w:r w:rsidRPr="005B0948">
        <w:rPr>
          <w:rFonts w:asciiTheme="majorBidi" w:hAnsiTheme="majorBidi" w:cstheme="majorBidi"/>
          <w:i/>
          <w:iCs/>
          <w:sz w:val="24"/>
          <w:szCs w:val="24"/>
        </w:rPr>
        <w:t>Dirasah</w:t>
      </w:r>
      <w:proofErr w:type="spell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948">
        <w:rPr>
          <w:rFonts w:asciiTheme="majorBidi" w:hAnsiTheme="majorBidi" w:cstheme="majorBidi"/>
          <w:i/>
          <w:iCs/>
          <w:sz w:val="24"/>
          <w:szCs w:val="24"/>
        </w:rPr>
        <w:t>Muqaranah</w:t>
      </w:r>
      <w:proofErr w:type="spell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li-</w:t>
      </w:r>
      <w:proofErr w:type="spellStart"/>
      <w:r w:rsidRPr="005B0948">
        <w:rPr>
          <w:rFonts w:asciiTheme="majorBidi" w:hAnsiTheme="majorBidi" w:cstheme="majorBidi"/>
          <w:i/>
          <w:iCs/>
          <w:sz w:val="24"/>
          <w:szCs w:val="24"/>
        </w:rPr>
        <w:t>Ahkamiha</w:t>
      </w:r>
      <w:proofErr w:type="spell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5B0948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948">
        <w:rPr>
          <w:rFonts w:asciiTheme="majorBidi" w:hAnsiTheme="majorBidi" w:cstheme="majorBidi"/>
          <w:i/>
          <w:iCs/>
          <w:sz w:val="24"/>
          <w:szCs w:val="24"/>
        </w:rPr>
        <w:t>Falsafatiha</w:t>
      </w:r>
      <w:proofErr w:type="spell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fi Daw’ al-Qur’an </w:t>
      </w:r>
      <w:proofErr w:type="spellStart"/>
      <w:r w:rsidRPr="005B0948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5B0948">
        <w:rPr>
          <w:rFonts w:asciiTheme="majorBidi" w:hAnsiTheme="majorBidi" w:cstheme="majorBidi"/>
          <w:i/>
          <w:iCs/>
          <w:sz w:val="24"/>
          <w:szCs w:val="24"/>
        </w:rPr>
        <w:t xml:space="preserve"> al-Sunnah</w:t>
      </w:r>
      <w:r w:rsidRPr="005B0948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5B0948">
        <w:rPr>
          <w:rFonts w:asciiTheme="majorBidi" w:hAnsiTheme="majorBidi" w:cstheme="majorBidi"/>
          <w:iCs/>
          <w:sz w:val="24"/>
          <w:szCs w:val="24"/>
        </w:rPr>
        <w:t xml:space="preserve">Beirut: </w:t>
      </w:r>
      <w:proofErr w:type="spellStart"/>
      <w:r w:rsidRPr="005B0948">
        <w:rPr>
          <w:rFonts w:asciiTheme="majorBidi" w:hAnsiTheme="majorBidi" w:cstheme="majorBidi"/>
          <w:iCs/>
          <w:sz w:val="24"/>
          <w:szCs w:val="24"/>
        </w:rPr>
        <w:t>Mu’assasat</w:t>
      </w:r>
      <w:proofErr w:type="spellEnd"/>
      <w:r w:rsidRPr="005B0948">
        <w:rPr>
          <w:rFonts w:asciiTheme="majorBidi" w:hAnsiTheme="majorBidi" w:cstheme="majorBidi"/>
          <w:iCs/>
          <w:sz w:val="24"/>
          <w:szCs w:val="24"/>
        </w:rPr>
        <w:t xml:space="preserve"> al-</w:t>
      </w:r>
      <w:proofErr w:type="spellStart"/>
      <w:r w:rsidRPr="005B0948">
        <w:rPr>
          <w:rFonts w:asciiTheme="majorBidi" w:hAnsiTheme="majorBidi" w:cstheme="majorBidi"/>
          <w:iCs/>
          <w:sz w:val="24"/>
          <w:szCs w:val="24"/>
        </w:rPr>
        <w:t>Risalah</w:t>
      </w:r>
      <w:proofErr w:type="spellEnd"/>
      <w:r w:rsidRPr="005B0948">
        <w:rPr>
          <w:rFonts w:asciiTheme="majorBidi" w:hAnsiTheme="majorBidi" w:cstheme="majorBidi"/>
          <w:iCs/>
          <w:sz w:val="24"/>
          <w:szCs w:val="24"/>
        </w:rPr>
        <w:t>, 1991, 1227pp</w:t>
      </w:r>
      <w:r w:rsidRPr="005B0948">
        <w:rPr>
          <w:rFonts w:asciiTheme="majorBidi" w:hAnsiTheme="majorBidi" w:cstheme="majorBidi"/>
          <w:i/>
          <w:sz w:val="24"/>
          <w:szCs w:val="24"/>
        </w:rPr>
        <w:t>.</w:t>
      </w:r>
    </w:p>
    <w:p w:rsidR="006A351C" w:rsidRPr="005B0948" w:rsidRDefault="006A351C" w:rsidP="006A351C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A351C" w:rsidRPr="005B0948" w:rsidRDefault="006A351C" w:rsidP="006A351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B0948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6A351C" w:rsidRPr="005B0948" w:rsidRDefault="006A351C" w:rsidP="006A351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A351C" w:rsidRPr="005B0948" w:rsidRDefault="006A351C" w:rsidP="006A351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B0948">
        <w:rPr>
          <w:rFonts w:asciiTheme="majorBidi" w:hAnsiTheme="majorBidi" w:cstheme="majorBidi"/>
          <w:b/>
          <w:bCs/>
          <w:sz w:val="24"/>
          <w:szCs w:val="24"/>
          <w:lang w:val="en-US"/>
        </w:rPr>
        <w:t>The Jurisprudence of Almsgiving: A Comparative Study of its Regulations and Philosophy Based on the Qur’an and the Sunna</w:t>
      </w:r>
    </w:p>
    <w:p w:rsidR="006A351C" w:rsidRPr="005B0948" w:rsidRDefault="006A351C" w:rsidP="006A351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6A351C" w:rsidRPr="005B0948" w:rsidRDefault="006A351C" w:rsidP="006A351C">
      <w:pPr>
        <w:bidi/>
        <w:spacing w:after="0" w:line="48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tr-TR" w:eastAsia="ar-SA"/>
        </w:rPr>
      </w:pPr>
      <w:r w:rsidRPr="005B0948">
        <w:rPr>
          <w:rFonts w:asciiTheme="majorBidi" w:hAnsiTheme="majorBidi" w:cstheme="majorBidi"/>
          <w:i/>
          <w:iCs/>
          <w:sz w:val="24"/>
          <w:szCs w:val="24"/>
          <w:rtl/>
          <w:lang w:val="tr-TR" w:eastAsia="ar-SA"/>
        </w:rPr>
        <w:t xml:space="preserve">فقه الزكاة: دراسة مقارنة لأحكامها و فلسفتها في </w:t>
      </w:r>
      <w:r w:rsidRPr="005B0948">
        <w:rPr>
          <w:rFonts w:asciiTheme="majorBidi" w:hAnsiTheme="majorBidi" w:cstheme="majorBidi"/>
          <w:i/>
          <w:iCs/>
          <w:sz w:val="24"/>
          <w:szCs w:val="24"/>
          <w:rtl/>
          <w:lang w:val="tr-TR" w:bidi="ar-EG"/>
        </w:rPr>
        <w:t xml:space="preserve">ضوء </w:t>
      </w:r>
      <w:r w:rsidRPr="005B0948">
        <w:rPr>
          <w:rFonts w:asciiTheme="majorBidi" w:hAnsiTheme="majorBidi" w:cstheme="majorBidi"/>
          <w:i/>
          <w:iCs/>
          <w:sz w:val="24"/>
          <w:szCs w:val="24"/>
          <w:rtl/>
          <w:lang w:val="tr-TR" w:eastAsia="ar-SA"/>
        </w:rPr>
        <w:t>القرآن و السنة</w:t>
      </w:r>
    </w:p>
    <w:p w:rsidR="006A351C" w:rsidRPr="005B0948" w:rsidRDefault="006A351C" w:rsidP="006A351C">
      <w:pPr>
        <w:spacing w:after="0" w:line="480" w:lineRule="auto"/>
        <w:rPr>
          <w:rFonts w:asciiTheme="majorBidi" w:hAnsiTheme="majorBidi" w:cstheme="majorBidi"/>
          <w:sz w:val="24"/>
          <w:szCs w:val="24"/>
          <w:lang w:val="tr-TR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Among the five pillars of the Islamic faith,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almsgiving is considered a fi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nancial pillar that,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along with divine unity (</w:t>
      </w:r>
      <w:proofErr w:type="spellStart"/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tawhid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>) and prayer,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enables an individual to enter the Muslim community.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Almsgiving is also an integral part of the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Islamic financial and social system. It is therefore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unsurprising that Islamic scholars would devote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their attention to its regulations and intricacies.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Yousef al-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Qaradawi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has been involved in the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writin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g of important works on Islamic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jurisprudence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and sharia. In this book, he undertakes a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detailed and in-depth examination of the system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of almsgiving (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zakat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).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The book includes a preface on the meaning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of almsgiving and voluntary charity (</w:t>
      </w:r>
      <w:proofErr w:type="spellStart"/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sadaqa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>). In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his introduction, the author explains the importance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5B0948">
        <w:rPr>
          <w:rFonts w:asciiTheme="majorBidi" w:eastAsiaTheme="minorHAnsi" w:hAnsiTheme="majorBidi" w:cstheme="majorBidi"/>
          <w:sz w:val="24"/>
          <w:szCs w:val="24"/>
        </w:rPr>
        <w:t>of</w:t>
      </w:r>
      <w:proofErr w:type="gram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his study of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zakat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and mentions other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works on the subject.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lastRenderedPageBreak/>
        <w:t>Chapter one alludes to religious concern with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helping the poor and the weak, and highlights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Islam’s increased preoccupation with aid since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the covenant of Mecca. This extensive assistance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is enshrined within the legislation of almsgiving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in Medina; al-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Qaradawi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emphasises that this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unique system was unheard of in previous religions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and laws.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In the subsequent chapters, al-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Qaradawi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depicts the different types of donors and recipients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of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zakat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(alms), and those who are exempted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from this obligation. He also sets the regulations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of almsgiving and the quantity of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zakat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payable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according to one’s profession and wealth. The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author also cites the category of people prohibited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from receiving alms.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There is a chapter focusing on the objectives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of the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zakat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, explaining its social benefits (helping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the poor and the unemployed). The ways and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appropriate time (such as Ramadan) to pay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zakat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are mentioned.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In the final chapters, the author discusses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other types of financial obligations incumbent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on Muslims, namely state taxes. He discusses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whether sharia allows states to tax people who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pay the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zakat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.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In his conclusion, the author summarises the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system of almsgiving. He cites a number of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authors who have studied </w:t>
      </w:r>
      <w:r w:rsidRPr="005B0948">
        <w:rPr>
          <w:rFonts w:asciiTheme="majorBidi" w:eastAsiaTheme="minorHAnsi" w:hAnsiTheme="majorBidi" w:cstheme="majorBidi"/>
          <w:i/>
          <w:iCs/>
          <w:sz w:val="24"/>
          <w:szCs w:val="24"/>
        </w:rPr>
        <w:t>zakat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, and emphasises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its influence in achieving justice, equality and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solidarity between members of society.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>Al-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Qarad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awi’s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approach to this study is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extremely thorough, perhaps rendering the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book unnecessarily long. Nevertheless, he has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achieved his aims by comparing and contrasting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the various Islamic schools of thought as well as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Islamic and other forms of law. He has adopted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5B0948">
        <w:rPr>
          <w:rFonts w:asciiTheme="majorBidi" w:eastAsiaTheme="minorHAnsi" w:hAnsiTheme="majorBidi" w:cstheme="majorBidi"/>
          <w:sz w:val="24"/>
          <w:szCs w:val="24"/>
        </w:rPr>
        <w:lastRenderedPageBreak/>
        <w:t>a</w:t>
      </w:r>
      <w:proofErr w:type="gram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methodology of close scrutiny and consideration,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presented his scholarly research with precision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and conveyed the most remarkable aspects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of ancient books – while avoiding the wooden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B0948">
        <w:rPr>
          <w:rFonts w:asciiTheme="majorBidi" w:eastAsiaTheme="minorHAnsi" w:hAnsiTheme="majorBidi" w:cstheme="majorBidi"/>
          <w:sz w:val="24"/>
          <w:szCs w:val="24"/>
        </w:rPr>
        <w:t>expressions sometimes favoured by scholars.</w:t>
      </w: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A1678D" w:rsidRPr="005B0948" w:rsidRDefault="00A1678D" w:rsidP="005B0948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eastAsiaTheme="minorHAnsi" w:hAnsiTheme="majorBidi" w:cstheme="majorBidi"/>
          <w:sz w:val="24"/>
          <w:szCs w:val="24"/>
        </w:rPr>
      </w:pPr>
      <w:bookmarkStart w:id="0" w:name="_GoBack"/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Sahibe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Alam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Azami</w:t>
      </w:r>
      <w:proofErr w:type="spellEnd"/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Nadwi</w:t>
      </w:r>
      <w:proofErr w:type="spellEnd"/>
    </w:p>
    <w:p w:rsidR="006A351C" w:rsidRPr="005B0948" w:rsidRDefault="00A1678D" w:rsidP="005B0948">
      <w:pPr>
        <w:spacing w:after="0" w:line="48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5B0948">
        <w:rPr>
          <w:rFonts w:asciiTheme="majorBidi" w:eastAsiaTheme="minorHAnsi" w:hAnsiTheme="majorBidi" w:cstheme="majorBidi"/>
          <w:sz w:val="24"/>
          <w:szCs w:val="24"/>
        </w:rPr>
        <w:t xml:space="preserve">Translated by Hugh </w:t>
      </w:r>
      <w:proofErr w:type="spellStart"/>
      <w:r w:rsidRPr="005B0948">
        <w:rPr>
          <w:rFonts w:asciiTheme="majorBidi" w:eastAsiaTheme="minorHAnsi" w:hAnsiTheme="majorBidi" w:cstheme="majorBidi"/>
          <w:sz w:val="24"/>
          <w:szCs w:val="24"/>
        </w:rPr>
        <w:t>Lovatt</w:t>
      </w:r>
      <w:proofErr w:type="spellEnd"/>
      <w:r w:rsidR="006A351C" w:rsidRPr="005B09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bookmarkEnd w:id="0"/>
    <w:p w:rsidR="009A0E2D" w:rsidRPr="005B0948" w:rsidRDefault="005B0948" w:rsidP="005B094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A0E2D" w:rsidRPr="005B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D"/>
    <w:rsid w:val="000071C0"/>
    <w:rsid w:val="00083E80"/>
    <w:rsid w:val="005421BD"/>
    <w:rsid w:val="005B0948"/>
    <w:rsid w:val="006A351C"/>
    <w:rsid w:val="006C6B50"/>
    <w:rsid w:val="00791238"/>
    <w:rsid w:val="007A1130"/>
    <w:rsid w:val="00A1678D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1C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1C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2015-02-23T13:12:00Z</dcterms:created>
  <dcterms:modified xsi:type="dcterms:W3CDTF">2015-06-11T11:15:00Z</dcterms:modified>
</cp:coreProperties>
</file>