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7A" w:rsidRPr="003B401C" w:rsidRDefault="005E3E45" w:rsidP="0049637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ar-TN"/>
        </w:rPr>
        <w:t>Hasan, Ahmad.</w:t>
      </w:r>
      <w:r>
        <w:rPr>
          <w:rFonts w:ascii="Times New Roman" w:hAnsi="Times New Roman" w:cs="Times New Roman"/>
          <w:bCs/>
          <w:i/>
          <w:sz w:val="24"/>
          <w:szCs w:val="24"/>
          <w:lang w:bidi="ar-TN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lang w:bidi="ar-TN"/>
        </w:rPr>
        <w:t>The Early Development of Islamic Jurisprudence</w:t>
      </w:r>
      <w:r>
        <w:rPr>
          <w:rFonts w:ascii="Times New Roman" w:hAnsi="Times New Roman" w:cs="Times New Roman"/>
          <w:bCs/>
          <w:sz w:val="24"/>
          <w:szCs w:val="24"/>
          <w:lang w:bidi="ar-TN"/>
        </w:rPr>
        <w:t>.</w:t>
      </w:r>
      <w:proofErr w:type="gramEnd"/>
      <w:r w:rsidR="0049637A" w:rsidRPr="003B401C">
        <w:rPr>
          <w:rFonts w:ascii="Times New Roman" w:hAnsi="Times New Roman" w:cs="Times New Roman"/>
          <w:bCs/>
          <w:sz w:val="24"/>
          <w:szCs w:val="24"/>
        </w:rPr>
        <w:t xml:space="preserve"> Islamabad: Islamic Research Centre, 1970, 232 s.</w:t>
      </w:r>
    </w:p>
    <w:p w:rsidR="0049637A" w:rsidRPr="003B401C" w:rsidRDefault="0049637A" w:rsidP="0049637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9637A" w:rsidRPr="00DB564D" w:rsidRDefault="0049637A" w:rsidP="004963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r w:rsidRPr="00DB564D">
        <w:rPr>
          <w:rFonts w:ascii="Times New Roman" w:hAnsi="Times New Roman" w:cs="Times New Roman"/>
          <w:b/>
          <w:sz w:val="24"/>
          <w:szCs w:val="24"/>
          <w:lang w:val="tr-TR"/>
        </w:rPr>
        <w:t>ÖZET</w:t>
      </w:r>
    </w:p>
    <w:bookmarkEnd w:id="0"/>
    <w:p w:rsidR="0049637A" w:rsidRPr="003B401C" w:rsidRDefault="0049637A" w:rsidP="004963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9637A" w:rsidRPr="003B401C" w:rsidRDefault="0049637A" w:rsidP="004963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/>
          <w:sz w:val="24"/>
          <w:szCs w:val="24"/>
          <w:lang w:val="tr-TR"/>
        </w:rPr>
        <w:t>İslam Fıkhının Erken Dönem Gelişimi</w:t>
      </w:r>
    </w:p>
    <w:p w:rsidR="0049637A" w:rsidRPr="003B401C" w:rsidRDefault="0049637A" w:rsidP="004963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9637A" w:rsidRPr="003B401C" w:rsidRDefault="0049637A" w:rsidP="0049637A">
      <w:pPr>
        <w:spacing w:after="0" w:line="48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B401C">
        <w:rPr>
          <w:rFonts w:ascii="Times New Roman" w:hAnsi="Times New Roman" w:cs="Times New Roman"/>
          <w:bCs/>
          <w:i/>
          <w:sz w:val="24"/>
          <w:szCs w:val="24"/>
        </w:rPr>
        <w:t>The Early Development of Islamic Jurisprudence</w:t>
      </w:r>
    </w:p>
    <w:p w:rsidR="0049637A" w:rsidRPr="003B401C" w:rsidRDefault="0049637A" w:rsidP="0049637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9637A" w:rsidRPr="003B401C" w:rsidRDefault="0049637A" w:rsidP="0049637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Ahmad Hasan tarafından kaleme alınan bu kitap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 xml:space="preserve">fıkıh 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biliminin (İslam hukukunun) gelişimini tasvir etmektedir.</w:t>
      </w:r>
    </w:p>
    <w:p w:rsidR="0049637A" w:rsidRPr="003B401C" w:rsidRDefault="0049637A" w:rsidP="0049637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49637A" w:rsidRPr="003B401C" w:rsidRDefault="0049637A" w:rsidP="0049637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Birinci Bölüm kişisel zekâ ve bir düşünce egzersizi olan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fıkh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ın kodlanmış İslami öğretilerle belirli bir hukuku işaret edecek şekilde nasıl daraltıldığını; bilgi (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‘ilm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), Allah’ın insanlar için çizdiği yol (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şeriat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) ve temel inançlar (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din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) gibi çağdaş kavramların nasıl benzer değişimlere uğradığını açıklamaktadır.</w:t>
      </w:r>
    </w:p>
    <w:p w:rsidR="0049637A" w:rsidRPr="003B401C" w:rsidRDefault="0049637A" w:rsidP="0049637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49637A" w:rsidRPr="003B401C" w:rsidRDefault="0049637A" w:rsidP="0049637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Sonraki iki bölüm dört düşünce okulunun (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Malikilik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Şafiilik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Hanbelîlik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ve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Hanefilik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) ve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fıkıh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taki bilgi kaynaklarının (Kuran, sünnet [Hz. Muhammed’in örnek davranışları], hadis [sünnetin bildirilmesinde kullanılan araç], içtihat [bağımsız yorumlama] ve icmâ [belirli bir çağdaki bir topluluğun hukukçularının bir konu hakkındaki ittifakı]) arka planını sunmaktadır. Dördüncü Bölümde yazar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nesih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- Kuran’daki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ayetler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in yeni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ayetler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le değiştirilmesi -  hakkındaki farklı teorilerin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fıkıh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ta oynadığı rolü tartışmaktadır.</w:t>
      </w:r>
    </w:p>
    <w:p w:rsidR="0049637A" w:rsidRPr="003B401C" w:rsidRDefault="0049637A" w:rsidP="0049637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49637A" w:rsidRPr="003B401C" w:rsidRDefault="0049637A" w:rsidP="006011F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lastRenderedPageBreak/>
        <w:t xml:space="preserve">Hasan, Beşinci Bölümde,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fıkıh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taki bilgi kaynakları ile ilgili olarak Üçüncü Bölümde başlattığı tartışmaya geri dönmektedir. Yazar, içtihadın gelişimini,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rey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(kişisel kanaat),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Kıyas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(analojik muhakeme) ve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icmâ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hakkındaki değişen kavramsallaştırmalar bağlamında tartışmaktadır. Son bölümde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rey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Kıyas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İcmâ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ve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İstihsan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gibi kavramların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fıkıh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ta bağımsız birer araştırma alanı h</w:t>
      </w:r>
      <w:r w:rsidR="006011F6" w:rsidRPr="006011F6">
        <w:rPr>
          <w:rFonts w:ascii="Times New Roman" w:hAnsi="Times New Roman" w:cs="Times New Roman"/>
          <w:bCs/>
          <w:sz w:val="24"/>
          <w:szCs w:val="24"/>
          <w:lang w:val="tr-TR"/>
        </w:rPr>
        <w:t>â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line gelmesinde Şafii okulunun oynadığı dönüm noktası niteliğindeki rol ayrıntılı olarak ele alınmaktadır.</w:t>
      </w:r>
    </w:p>
    <w:p w:rsidR="0049637A" w:rsidRPr="003B401C" w:rsidRDefault="0049637A" w:rsidP="0049637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49637A" w:rsidRPr="003B401C" w:rsidRDefault="0049637A" w:rsidP="006011F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Kitap </w:t>
      </w:r>
      <w:r w:rsidRPr="003B401C">
        <w:rPr>
          <w:rFonts w:ascii="Times New Roman" w:hAnsi="Times New Roman" w:cs="Times New Roman"/>
          <w:bCs/>
          <w:i/>
          <w:sz w:val="24"/>
          <w:szCs w:val="24"/>
          <w:lang w:val="tr-TR"/>
        </w:rPr>
        <w:t>fıkh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ın gelişiminin bütünselci bir tartışmasını sunmaktadır. Bununla birlikte, bilgi kaynaklarının müstakilen nasıl geliştirildiği belirsiz bırakıldığı için büyük resim anlaşılmaz h</w:t>
      </w:r>
      <w:r w:rsidR="006011F6" w:rsidRPr="006011F6">
        <w:rPr>
          <w:rFonts w:ascii="Times New Roman" w:hAnsi="Times New Roman" w:cs="Times New Roman"/>
          <w:bCs/>
          <w:sz w:val="24"/>
          <w:szCs w:val="24"/>
          <w:lang w:val="tr-TR"/>
        </w:rPr>
        <w:t>â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le gelmiştir. Her h</w:t>
      </w:r>
      <w:r w:rsidR="006011F6" w:rsidRPr="006011F6">
        <w:rPr>
          <w:rFonts w:ascii="Times New Roman" w:hAnsi="Times New Roman" w:cs="Times New Roman"/>
          <w:bCs/>
          <w:sz w:val="24"/>
          <w:szCs w:val="24"/>
          <w:lang w:val="tr-TR"/>
        </w:rPr>
        <w:t>â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lük</w:t>
      </w:r>
      <w:r w:rsidR="006011F6" w:rsidRPr="006011F6">
        <w:rPr>
          <w:rFonts w:ascii="Times New Roman" w:hAnsi="Times New Roman" w:cs="Times New Roman"/>
          <w:bCs/>
          <w:sz w:val="24"/>
          <w:szCs w:val="24"/>
          <w:lang w:val="tr-TR"/>
        </w:rPr>
        <w:t>â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rda, kitap kapsamlı bir kaynakça içermektedir ve hem başlangıç hem de ileri düzeydeki İslam hukuku öğrencileri için zengin bir kaynaktır.</w:t>
      </w:r>
    </w:p>
    <w:p w:rsidR="0049637A" w:rsidRPr="003B401C" w:rsidRDefault="0049637A" w:rsidP="0049637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49637A" w:rsidRPr="003B401C" w:rsidRDefault="0049637A" w:rsidP="0049637A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Sanaa Riaz</w:t>
      </w:r>
    </w:p>
    <w:p w:rsidR="009A0E2D" w:rsidRPr="0049637A" w:rsidRDefault="0049637A" w:rsidP="001709F3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Çeviren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Fatih </w:t>
      </w:r>
      <w:r w:rsidRPr="003C579D">
        <w:rPr>
          <w:rFonts w:ascii="Times New Roman" w:hAnsi="Times New Roman" w:cs="Times New Roman"/>
          <w:bCs/>
          <w:sz w:val="24"/>
          <w:szCs w:val="24"/>
          <w:lang w:val="tr-TR"/>
        </w:rPr>
        <w:t>Taştan</w:t>
      </w:r>
    </w:p>
    <w:sectPr w:rsidR="009A0E2D" w:rsidRPr="00496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3B"/>
    <w:rsid w:val="000071C0"/>
    <w:rsid w:val="00083E80"/>
    <w:rsid w:val="001709F3"/>
    <w:rsid w:val="002D23E5"/>
    <w:rsid w:val="0049637A"/>
    <w:rsid w:val="005E3E45"/>
    <w:rsid w:val="006011F6"/>
    <w:rsid w:val="006C6B50"/>
    <w:rsid w:val="00791238"/>
    <w:rsid w:val="00A91D3B"/>
    <w:rsid w:val="00B53811"/>
    <w:rsid w:val="00C36311"/>
    <w:rsid w:val="00D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8</cp:revision>
  <dcterms:created xsi:type="dcterms:W3CDTF">2015-02-23T12:16:00Z</dcterms:created>
  <dcterms:modified xsi:type="dcterms:W3CDTF">2015-06-09T12:44:00Z</dcterms:modified>
</cp:coreProperties>
</file>