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D1E" w:rsidRPr="00DA0DE2" w:rsidRDefault="00EA0D1E" w:rsidP="00857501">
      <w:pPr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Arto, A. Mukti. </w:t>
      </w:r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 xml:space="preserve">Konsepsi Ideal Mahkamah Agung. 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Yogyakarta: Pustaka Pelajar, 2001, 403</w:t>
      </w:r>
      <w:r w:rsidR="00857501">
        <w:rPr>
          <w:rFonts w:ascii="Times New Roman" w:hAnsi="Times New Roman" w:cs="Times New Roman"/>
          <w:sz w:val="24"/>
          <w:szCs w:val="24"/>
          <w:lang w:val="en-AU" w:bidi="ar-SY"/>
        </w:rPr>
        <w:t>pp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>.</w:t>
      </w:r>
    </w:p>
    <w:p w:rsidR="00EA0D1E" w:rsidRPr="00DA0DE2" w:rsidRDefault="00EA0D1E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</w:p>
    <w:p w:rsidR="00EA0D1E" w:rsidRPr="00BD0A34" w:rsidRDefault="00EA0D1E" w:rsidP="00EA0D1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SY"/>
        </w:rPr>
      </w:pPr>
      <w:bookmarkStart w:id="0" w:name="_GoBack"/>
      <w:r w:rsidRPr="00BD0A34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ملخص</w:t>
      </w:r>
    </w:p>
    <w:bookmarkEnd w:id="0"/>
    <w:p w:rsidR="00EA0D1E" w:rsidRPr="00DA0DE2" w:rsidRDefault="00EA0D1E" w:rsidP="00EA0D1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EA0D1E" w:rsidRPr="00DA0DE2" w:rsidRDefault="00EA0D1E" w:rsidP="00EA0D1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AU" w:bidi="ar-SY"/>
        </w:rPr>
      </w:pPr>
      <w:r w:rsidRPr="00DA0DE2"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  <w:t>المفهوم المثالي للمحكمة العليا</w:t>
      </w:r>
    </w:p>
    <w:p w:rsidR="00EA0D1E" w:rsidRPr="00DA0DE2" w:rsidRDefault="00EA0D1E" w:rsidP="00EA0D1E">
      <w:pPr>
        <w:bidi/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</w:p>
    <w:p w:rsidR="00EA0D1E" w:rsidRPr="00DA0DE2" w:rsidRDefault="00EA0D1E" w:rsidP="00EA0D1E">
      <w:pPr>
        <w:spacing w:after="0"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i/>
          <w:iCs/>
          <w:sz w:val="24"/>
          <w:szCs w:val="24"/>
          <w:lang w:val="en-AU" w:bidi="ar-SY"/>
        </w:rPr>
        <w:t>Konsepsi Ideal Mahkamah Agung</w:t>
      </w:r>
    </w:p>
    <w:p w:rsidR="00EA0D1E" w:rsidRPr="00DA0DE2" w:rsidRDefault="00EA0D1E" w:rsidP="00EA0D1E">
      <w:pPr>
        <w:bidi/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lang w:val="en-AU" w:bidi="ar-SY"/>
        </w:rPr>
      </w:pPr>
    </w:p>
    <w:p w:rsidR="00EA0D1E" w:rsidRPr="00DA0DE2" w:rsidRDefault="00EA0D1E" w:rsidP="008575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يدرس هذا العمل في البداية كيفية عمل المحكمة العليا خلال نصف القرن الأول من استقلال اندونيسيا و من ثم ينظر إلى المهام المُعززة للمحكمة العليا في عهد الإصلاح الجديد الذي تلا نهاية نظام الحكم الجديد</w:t>
      </w:r>
      <w:r w:rsidRPr="00DA0DE2">
        <w:rPr>
          <w:rFonts w:ascii="Times New Roman" w:hAnsi="Times New Roman" w:cs="Times New Roman"/>
          <w:sz w:val="24"/>
          <w:szCs w:val="24"/>
          <w:lang w:val="en-AU" w:bidi="ar-SY"/>
        </w:rPr>
        <w:t xml:space="preserve">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الذي كان مدعوما من قبل الجيش.</w:t>
      </w:r>
    </w:p>
    <w:p w:rsidR="00EA0D1E" w:rsidRPr="00DA0DE2" w:rsidRDefault="00EA0D1E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0D1E" w:rsidRPr="00DA0DE2" w:rsidRDefault="00857501" w:rsidP="00857501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>
        <w:rPr>
          <w:rFonts w:ascii="Times New Roman" w:hAnsi="Times New Roman" w:cs="Times New Roman"/>
          <w:sz w:val="24"/>
          <w:szCs w:val="24"/>
          <w:rtl/>
          <w:lang w:bidi="ar-SY"/>
        </w:rPr>
        <w:t>و يُقس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م المجلد إلى خمسة فصول طويل</w:t>
      </w:r>
      <w:r>
        <w:rPr>
          <w:rFonts w:ascii="Times New Roman" w:hAnsi="Times New Roman" w:cs="Times New Roman"/>
          <w:sz w:val="24"/>
          <w:szCs w:val="24"/>
          <w:rtl/>
          <w:lang w:bidi="ar-SY"/>
        </w:rPr>
        <w:t>ة تتبعها قائمة من المراجع المنظ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مة بشكل جيد. كما يتضمن العمل العديد من الرسوم البيانية و الجداول المفيدة التي تدعم نقاش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الطرح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الرئيسي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ل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لنص. و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يتسم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ترتيب الفصول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بكونه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مصمم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على نحو يعزز انسياب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ية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نقاش المؤلف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فييستهل ب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مواد تمهيدية،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يليه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عرض الخلفية النظرية،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ثم </w:t>
      </w:r>
      <w:r>
        <w:rPr>
          <w:rFonts w:ascii="Times New Roman" w:hAnsi="Times New Roman" w:cs="Times New Roman"/>
          <w:sz w:val="24"/>
          <w:szCs w:val="24"/>
          <w:rtl/>
          <w:lang w:bidi="ar-SY"/>
        </w:rPr>
        <w:t>دستور عام ١٩٤٥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كسياق للمحكمة العليا،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 يعقبه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ماهية المحكمة العليا كما حددها القانون رقم ١٤ لعام ١٩٨٥،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و من ثم 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إعادة تحديد دور و مهمة المحكمة العليا،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ليختتم ب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الخطوات الضرورية لبناء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ندونيسيا الجديدة و </w:t>
      </w:r>
      <w:r>
        <w:rPr>
          <w:rFonts w:ascii="Times New Roman" w:hAnsi="Times New Roman" w:cs="Times New Roman" w:hint="cs"/>
          <w:sz w:val="24"/>
          <w:szCs w:val="24"/>
          <w:rtl/>
          <w:lang w:bidi="ar-SY"/>
        </w:rPr>
        <w:t>ب</w:t>
      </w:r>
      <w:r w:rsidR="00EA0D1E"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ملخص و توصيات.</w:t>
      </w:r>
    </w:p>
    <w:p w:rsidR="00EA0D1E" w:rsidRPr="00DA0DE2" w:rsidRDefault="00EA0D1E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0D1E" w:rsidRPr="00DA0DE2" w:rsidRDefault="00EA0D1E" w:rsidP="006D488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تم إنتاج هذا العمل في أولى سنوات ما بعد سوهارتو و التي تلت سقوط  نظام الحكم الجديد في ١٩٩٨. و تتميز روح هذا العمل كغيرها من الأعمال التي أنتجت في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ذات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الفترة تقريبا بأنها إحدى البدايات الجديدة التي تسعى لإعادة تقييم مؤسسات الدولة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في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عهد الإصلاح الجديد. كما يذكر المؤلف أن المحكمة العليا لم تكن قادرة على القيام بالمهام المُوكلة إليها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 xml:space="preserve">حسب 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دستور ١٩٤٥ الإندونيسي في ظل نظام الحكم الجديد.</w:t>
      </w:r>
    </w:p>
    <w:p w:rsidR="00EA0D1E" w:rsidRPr="00DA0DE2" w:rsidRDefault="00EA0D1E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</w:t>
      </w:r>
    </w:p>
    <w:p w:rsidR="00EA0D1E" w:rsidRPr="00DA0DE2" w:rsidRDefault="00EA0D1E" w:rsidP="006D488D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و يُظهر العنوان الفرعي لهذا العمل هدف المؤلف بشكل واضح و هو: </w:t>
      </w:r>
      <w:r w:rsidR="00857501">
        <w:rPr>
          <w:rFonts w:ascii="Times New Roman" w:hAnsi="Times New Roman" w:cs="Times New Roman"/>
          <w:sz w:val="24"/>
          <w:szCs w:val="24"/>
          <w:rtl/>
          <w:lang w:bidi="ar-SY"/>
        </w:rPr>
        <w:t>«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إعادة  تحديد دور و مهمة المحكمة العليا لبناء دولة 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ندونيسية جديدة</w:t>
      </w:r>
      <w:r w:rsidR="00857501">
        <w:rPr>
          <w:rFonts w:ascii="Times New Roman" w:hAnsi="Times New Roman" w:cs="Times New Roman"/>
          <w:sz w:val="24"/>
          <w:szCs w:val="24"/>
          <w:rtl/>
          <w:lang w:bidi="ar-SY"/>
        </w:rPr>
        <w:t>»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. و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ي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كمن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هدف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المؤلف من خلال كتابة هذا الكتاب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إلى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نشر المثل العليا للديمقراطية و حكم القانون في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lastRenderedPageBreak/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ندونيسيا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خلال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عهد الإصلاح. و رغم وضوح هذه الأهداف فإن المنهج المتبع لا يضحي بدقة البحث بأي حال من الأحوال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،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 فقد بحث المؤلف في كميات هائلة من المعلومات ليقدم حجة مقنعة على تقييد مهام المحكمة ال</w:t>
      </w:r>
      <w:r w:rsidR="006D488D">
        <w:rPr>
          <w:rFonts w:ascii="Times New Roman" w:hAnsi="Times New Roman" w:cs="Times New Roman"/>
          <w:sz w:val="24"/>
          <w:szCs w:val="24"/>
          <w:rtl/>
          <w:lang w:bidi="ar-SY"/>
        </w:rPr>
        <w:t>عليا خلال نصف القرن الأول من ال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ا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ستقلال في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 xml:space="preserve">ندونيسيا. و على نحو مشابه يناقش بوضوح  كيفية تعزيز المحكمة العليا في عهد الإصلاح الجديد. و بهذا يعد العمل قيِّما و مهما جدا </w:t>
      </w:r>
      <w:r w:rsidR="006D488D">
        <w:rPr>
          <w:rFonts w:ascii="Times New Roman" w:hAnsi="Times New Roman" w:cs="Times New Roman" w:hint="cs"/>
          <w:sz w:val="24"/>
          <w:szCs w:val="24"/>
          <w:rtl/>
          <w:lang w:bidi="ar-SY"/>
        </w:rPr>
        <w:t>لإ</w:t>
      </w:r>
      <w:r w:rsidRPr="00DA0DE2">
        <w:rPr>
          <w:rFonts w:ascii="Times New Roman" w:hAnsi="Times New Roman" w:cs="Times New Roman"/>
          <w:sz w:val="24"/>
          <w:szCs w:val="24"/>
          <w:rtl/>
          <w:lang w:bidi="ar-SY"/>
        </w:rPr>
        <w:t>ندونيسيا في الوقت الحالي.</w:t>
      </w:r>
    </w:p>
    <w:p w:rsidR="00EA0D1E" w:rsidRPr="00DA0DE2" w:rsidRDefault="00EA0D1E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rtl/>
          <w:lang w:bidi="ar-SY"/>
        </w:rPr>
      </w:pPr>
    </w:p>
    <w:p w:rsidR="00EA0D1E" w:rsidRPr="00DA0DE2" w:rsidRDefault="006D488D" w:rsidP="00EA0D1E">
      <w:pPr>
        <w:bidi/>
        <w:spacing w:after="0" w:line="480" w:lineRule="auto"/>
        <w:rPr>
          <w:rFonts w:ascii="Times New Roman" w:hAnsi="Times New Roman" w:cs="Times New Roman"/>
          <w:sz w:val="24"/>
          <w:szCs w:val="24"/>
          <w:lang w:val="en-AU" w:bidi="ar-SY"/>
        </w:rPr>
      </w:pPr>
      <w:r>
        <w:rPr>
          <w:rFonts w:ascii="Times New Roman" w:hAnsi="Times New Roman" w:cs="Times New Roman"/>
          <w:sz w:val="24"/>
          <w:szCs w:val="24"/>
          <w:rtl/>
          <w:lang w:bidi="ar-SY"/>
        </w:rPr>
        <w:t>بيتر ج. ريدل</w:t>
      </w:r>
    </w:p>
    <w:p w:rsidR="009A0E2D" w:rsidRPr="00EA0D1E" w:rsidRDefault="00EA0D1E" w:rsidP="006D488D">
      <w:pPr>
        <w:bidi/>
      </w:pPr>
      <w:r>
        <w:rPr>
          <w:rFonts w:ascii="Times New Roman" w:hAnsi="Times New Roman" w:cs="Times New Roman"/>
          <w:sz w:val="24"/>
          <w:szCs w:val="24"/>
          <w:rtl/>
          <w:lang w:bidi="ar-SY"/>
        </w:rPr>
        <w:t>ترجمة مها يازجي</w:t>
      </w:r>
    </w:p>
    <w:sectPr w:rsidR="009A0E2D" w:rsidRPr="00EA0D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DFE"/>
    <w:rsid w:val="000071C0"/>
    <w:rsid w:val="00083E80"/>
    <w:rsid w:val="006C6B50"/>
    <w:rsid w:val="006D488D"/>
    <w:rsid w:val="00791238"/>
    <w:rsid w:val="00857501"/>
    <w:rsid w:val="00BD0A34"/>
    <w:rsid w:val="00C47DFE"/>
    <w:rsid w:val="00EA0D1E"/>
    <w:rsid w:val="00F01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1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11A7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F011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1A7"/>
    <w:rPr>
      <w:rFonts w:ascii="Calibri" w:eastAsia="Calibri" w:hAnsi="Calibri" w:cs="Tms Rm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011A7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011A7"/>
    <w:rPr>
      <w:rFonts w:ascii="Calibri" w:eastAsia="Calibri" w:hAnsi="Calibri" w:cs="Tms Rmn"/>
    </w:rPr>
  </w:style>
  <w:style w:type="paragraph" w:customStyle="1" w:styleId="internalpagefonts">
    <w:name w:val="internalpagefonts"/>
    <w:basedOn w:val="Normal"/>
    <w:rsid w:val="00F011A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mohamad.meqdad</dc:creator>
  <cp:keywords/>
  <dc:description/>
  <cp:lastModifiedBy>mohamad.meqdad</cp:lastModifiedBy>
  <cp:revision>5</cp:revision>
  <dcterms:created xsi:type="dcterms:W3CDTF">2015-02-23T14:31:00Z</dcterms:created>
  <dcterms:modified xsi:type="dcterms:W3CDTF">2015-05-01T11:18:00Z</dcterms:modified>
</cp:coreProperties>
</file>