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9F" w:rsidRPr="001E2E9F" w:rsidRDefault="001E2E9F" w:rsidP="001E2E9F">
      <w:pPr>
        <w:bidi/>
        <w:spacing w:after="0" w:line="480" w:lineRule="auto"/>
        <w:rPr>
          <w:rFonts w:ascii="Times New Roman" w:hAnsi="Times New Roman" w:cs="Times New Roman"/>
          <w:i/>
          <w:sz w:val="24"/>
          <w:szCs w:val="24"/>
        </w:rPr>
      </w:pPr>
      <w:r w:rsidRPr="001E2E9F">
        <w:rPr>
          <w:rFonts w:ascii="Times New Roman" w:hAnsi="Times New Roman" w:cs="Times New Roman"/>
          <w:i/>
          <w:sz w:val="24"/>
          <w:szCs w:val="24"/>
          <w:rtl/>
        </w:rPr>
        <w:t xml:space="preserve">سابق، سيد. </w:t>
      </w:r>
      <w:r w:rsidRPr="001E2E9F">
        <w:rPr>
          <w:rFonts w:ascii="Times New Roman" w:hAnsi="Times New Roman" w:cs="Times New Roman"/>
          <w:iCs/>
          <w:sz w:val="24"/>
          <w:szCs w:val="24"/>
          <w:rtl/>
        </w:rPr>
        <w:t>فقه السنة</w:t>
      </w:r>
      <w:r w:rsidRPr="001E2E9F">
        <w:rPr>
          <w:rFonts w:ascii="Times New Roman" w:hAnsi="Times New Roman" w:cs="Times New Roman"/>
          <w:i/>
          <w:sz w:val="24"/>
          <w:szCs w:val="24"/>
          <w:rtl/>
        </w:rPr>
        <w:t>. بيروت: دار الكتاب العربي، ١٩٨٧، ٣ مجلدات، ١٧٢٧ ص.</w:t>
      </w:r>
    </w:p>
    <w:p w:rsidR="001E2E9F" w:rsidRPr="001E2E9F" w:rsidRDefault="001E2E9F" w:rsidP="001E2E9F">
      <w:pPr>
        <w:bidi/>
        <w:spacing w:after="0" w:line="480" w:lineRule="auto"/>
        <w:rPr>
          <w:rFonts w:ascii="Times New Roman" w:hAnsi="Times New Roman" w:cs="Times New Roman"/>
          <w:i/>
          <w:sz w:val="24"/>
          <w:szCs w:val="24"/>
        </w:rPr>
      </w:pPr>
    </w:p>
    <w:p w:rsidR="005321B5" w:rsidRPr="003B401C" w:rsidRDefault="001E2E9F" w:rsidP="00C36B5E">
      <w:pPr>
        <w:spacing w:after="0" w:line="480" w:lineRule="auto"/>
        <w:rPr>
          <w:rFonts w:ascii="Times New Roman" w:hAnsi="Times New Roman" w:cs="Times New Roman"/>
          <w:sz w:val="24"/>
          <w:szCs w:val="24"/>
          <w:rtl/>
          <w:lang w:val="tr-TR" w:eastAsia="ar-SA"/>
        </w:rPr>
      </w:pPr>
      <w:proofErr w:type="spellStart"/>
      <w:r w:rsidRPr="001E2E9F">
        <w:rPr>
          <w:rFonts w:ascii="Times New Roman" w:hAnsi="Times New Roman" w:cs="Times New Roman"/>
          <w:iCs/>
          <w:sz w:val="24"/>
          <w:szCs w:val="24"/>
        </w:rPr>
        <w:t>Sabiq</w:t>
      </w:r>
      <w:proofErr w:type="spellEnd"/>
      <w:r w:rsidRPr="001E2E9F">
        <w:rPr>
          <w:rFonts w:ascii="Times New Roman" w:hAnsi="Times New Roman" w:cs="Times New Roman"/>
          <w:iCs/>
          <w:sz w:val="24"/>
          <w:szCs w:val="24"/>
        </w:rPr>
        <w:t xml:space="preserve">, </w:t>
      </w:r>
      <w:proofErr w:type="spellStart"/>
      <w:r w:rsidRPr="001E2E9F">
        <w:rPr>
          <w:rFonts w:ascii="Times New Roman" w:hAnsi="Times New Roman" w:cs="Times New Roman"/>
          <w:iCs/>
          <w:sz w:val="24"/>
          <w:szCs w:val="24"/>
        </w:rPr>
        <w:t>Sayyid</w:t>
      </w:r>
      <w:proofErr w:type="spellEnd"/>
      <w:r w:rsidRPr="001E2E9F">
        <w:rPr>
          <w:rFonts w:ascii="Times New Roman" w:hAnsi="Times New Roman" w:cs="Times New Roman"/>
          <w:iCs/>
          <w:sz w:val="24"/>
          <w:szCs w:val="24"/>
        </w:rPr>
        <w:t>.</w:t>
      </w:r>
      <w:r w:rsidRPr="001E2E9F">
        <w:rPr>
          <w:rFonts w:ascii="Times New Roman" w:hAnsi="Times New Roman" w:cs="Times New Roman"/>
          <w:i/>
          <w:sz w:val="24"/>
          <w:szCs w:val="24"/>
        </w:rPr>
        <w:t xml:space="preserve"> </w:t>
      </w:r>
      <w:proofErr w:type="spellStart"/>
      <w:proofErr w:type="gramStart"/>
      <w:r w:rsidRPr="001E2E9F">
        <w:rPr>
          <w:rFonts w:ascii="Times New Roman" w:hAnsi="Times New Roman" w:cs="Times New Roman"/>
          <w:i/>
          <w:iCs/>
          <w:sz w:val="24"/>
          <w:szCs w:val="24"/>
        </w:rPr>
        <w:t>Fiqh</w:t>
      </w:r>
      <w:proofErr w:type="spellEnd"/>
      <w:r w:rsidRPr="001E2E9F">
        <w:rPr>
          <w:rFonts w:ascii="Times New Roman" w:hAnsi="Times New Roman" w:cs="Times New Roman"/>
          <w:i/>
          <w:iCs/>
          <w:sz w:val="24"/>
          <w:szCs w:val="24"/>
        </w:rPr>
        <w:t xml:space="preserve"> al-Sunnah</w:t>
      </w:r>
      <w:r w:rsidRPr="001E2E9F">
        <w:rPr>
          <w:rFonts w:ascii="Times New Roman" w:hAnsi="Times New Roman" w:cs="Times New Roman"/>
          <w:i/>
          <w:sz w:val="24"/>
          <w:szCs w:val="24"/>
        </w:rPr>
        <w:t>.</w:t>
      </w:r>
      <w:proofErr w:type="gramEnd"/>
      <w:r w:rsidRPr="001E2E9F">
        <w:rPr>
          <w:rFonts w:ascii="Times New Roman" w:hAnsi="Times New Roman" w:cs="Times New Roman"/>
          <w:i/>
          <w:sz w:val="24"/>
          <w:szCs w:val="24"/>
        </w:rPr>
        <w:t xml:space="preserve"> </w:t>
      </w:r>
      <w:proofErr w:type="spellStart"/>
      <w:r w:rsidRPr="001E2E9F">
        <w:rPr>
          <w:rFonts w:ascii="Times New Roman" w:hAnsi="Times New Roman" w:cs="Times New Roman"/>
          <w:iCs/>
          <w:sz w:val="24"/>
          <w:szCs w:val="24"/>
        </w:rPr>
        <w:t>Be</w:t>
      </w:r>
      <w:r w:rsidR="00C36B5E">
        <w:rPr>
          <w:rFonts w:ascii="Times New Roman" w:hAnsi="Times New Roman" w:cs="Times New Roman"/>
          <w:iCs/>
          <w:sz w:val="24"/>
          <w:szCs w:val="24"/>
        </w:rPr>
        <w:t>y</w:t>
      </w:r>
      <w:r w:rsidRPr="001E2E9F">
        <w:rPr>
          <w:rFonts w:ascii="Times New Roman" w:hAnsi="Times New Roman" w:cs="Times New Roman"/>
          <w:iCs/>
          <w:sz w:val="24"/>
          <w:szCs w:val="24"/>
        </w:rPr>
        <w:t>rut</w:t>
      </w:r>
      <w:proofErr w:type="spellEnd"/>
      <w:r w:rsidRPr="001E2E9F">
        <w:rPr>
          <w:rFonts w:ascii="Times New Roman" w:hAnsi="Times New Roman" w:cs="Times New Roman"/>
          <w:iCs/>
          <w:sz w:val="24"/>
          <w:szCs w:val="24"/>
        </w:rPr>
        <w:t>: Dar al-</w:t>
      </w:r>
      <w:proofErr w:type="spellStart"/>
      <w:r w:rsidRPr="001E2E9F">
        <w:rPr>
          <w:rFonts w:ascii="Times New Roman" w:hAnsi="Times New Roman" w:cs="Times New Roman"/>
          <w:iCs/>
          <w:sz w:val="24"/>
          <w:szCs w:val="24"/>
        </w:rPr>
        <w:t>Kitab</w:t>
      </w:r>
      <w:proofErr w:type="spellEnd"/>
      <w:r w:rsidRPr="001E2E9F">
        <w:rPr>
          <w:rFonts w:ascii="Times New Roman" w:hAnsi="Times New Roman" w:cs="Times New Roman"/>
          <w:iCs/>
          <w:sz w:val="24"/>
          <w:szCs w:val="24"/>
        </w:rPr>
        <w:t xml:space="preserve"> al-</w:t>
      </w:r>
      <w:proofErr w:type="spellStart"/>
      <w:r w:rsidRPr="001E2E9F">
        <w:rPr>
          <w:rFonts w:ascii="Times New Roman" w:hAnsi="Times New Roman" w:cs="Times New Roman"/>
          <w:iCs/>
          <w:sz w:val="24"/>
          <w:szCs w:val="24"/>
        </w:rPr>
        <w:t>Arabi</w:t>
      </w:r>
      <w:proofErr w:type="spellEnd"/>
      <w:r w:rsidRPr="001E2E9F">
        <w:rPr>
          <w:rFonts w:ascii="Times New Roman" w:hAnsi="Times New Roman" w:cs="Times New Roman"/>
          <w:iCs/>
          <w:sz w:val="24"/>
          <w:szCs w:val="24"/>
        </w:rPr>
        <w:t>, 1987</w:t>
      </w:r>
      <w:r w:rsidR="005321B5" w:rsidRPr="003B401C">
        <w:rPr>
          <w:rFonts w:ascii="Times New Roman" w:hAnsi="Times New Roman" w:cs="Times New Roman"/>
          <w:sz w:val="24"/>
          <w:szCs w:val="24"/>
        </w:rPr>
        <w:t xml:space="preserve">, 3 </w:t>
      </w:r>
      <w:proofErr w:type="spellStart"/>
      <w:r w:rsidR="005321B5" w:rsidRPr="003B401C">
        <w:rPr>
          <w:rFonts w:ascii="Times New Roman" w:hAnsi="Times New Roman" w:cs="Times New Roman"/>
          <w:sz w:val="24"/>
          <w:szCs w:val="24"/>
        </w:rPr>
        <w:t>cilt</w:t>
      </w:r>
      <w:proofErr w:type="spellEnd"/>
      <w:r w:rsidR="005321B5" w:rsidRPr="003B401C">
        <w:rPr>
          <w:rFonts w:ascii="Times New Roman" w:hAnsi="Times New Roman" w:cs="Times New Roman"/>
          <w:sz w:val="24"/>
          <w:szCs w:val="24"/>
        </w:rPr>
        <w:t>, 1727 s</w:t>
      </w:r>
      <w:r w:rsidR="005321B5" w:rsidRPr="003B401C">
        <w:rPr>
          <w:rFonts w:ascii="Times New Roman" w:hAnsi="Times New Roman" w:cs="Times New Roman"/>
          <w:sz w:val="24"/>
          <w:szCs w:val="24"/>
          <w:rtl/>
          <w:lang w:val="tr-TR" w:eastAsia="ar-SA"/>
        </w:rPr>
        <w:t xml:space="preserve">. </w:t>
      </w:r>
    </w:p>
    <w:p w:rsidR="005321B5" w:rsidRPr="003B401C" w:rsidRDefault="005321B5" w:rsidP="005321B5">
      <w:pPr>
        <w:spacing w:after="0" w:line="480" w:lineRule="auto"/>
        <w:rPr>
          <w:rFonts w:ascii="Times New Roman" w:hAnsi="Times New Roman" w:cs="Times New Roman"/>
          <w:bCs/>
          <w:sz w:val="24"/>
          <w:szCs w:val="24"/>
        </w:rPr>
      </w:pPr>
    </w:p>
    <w:p w:rsidR="005321B5" w:rsidRPr="00C36B5E" w:rsidRDefault="005321B5" w:rsidP="005321B5">
      <w:pPr>
        <w:spacing w:after="0" w:line="480" w:lineRule="auto"/>
        <w:jc w:val="center"/>
        <w:rPr>
          <w:rFonts w:ascii="Times New Roman" w:hAnsi="Times New Roman" w:cs="Times New Roman"/>
          <w:b/>
          <w:sz w:val="24"/>
          <w:szCs w:val="24"/>
          <w:lang w:val="tr-TR"/>
        </w:rPr>
      </w:pPr>
      <w:r w:rsidRPr="00C36B5E">
        <w:rPr>
          <w:rFonts w:ascii="Times New Roman" w:hAnsi="Times New Roman" w:cs="Times New Roman"/>
          <w:b/>
          <w:sz w:val="24"/>
          <w:szCs w:val="24"/>
          <w:lang w:val="tr-TR"/>
        </w:rPr>
        <w:t>ÖZET</w:t>
      </w:r>
    </w:p>
    <w:p w:rsidR="005321B5" w:rsidRPr="003B401C" w:rsidRDefault="005321B5" w:rsidP="005321B5">
      <w:pPr>
        <w:spacing w:after="0" w:line="480" w:lineRule="auto"/>
        <w:jc w:val="center"/>
        <w:rPr>
          <w:rFonts w:ascii="Times New Roman" w:hAnsi="Times New Roman" w:cs="Times New Roman"/>
          <w:bCs/>
          <w:sz w:val="24"/>
          <w:szCs w:val="24"/>
          <w:lang w:val="tr-TR"/>
        </w:rPr>
      </w:pPr>
    </w:p>
    <w:p w:rsidR="005321B5" w:rsidRPr="003B401C" w:rsidRDefault="005321B5" w:rsidP="005321B5">
      <w:pPr>
        <w:spacing w:after="0" w:line="480" w:lineRule="auto"/>
        <w:jc w:val="center"/>
        <w:rPr>
          <w:rFonts w:ascii="Times New Roman" w:hAnsi="Times New Roman" w:cs="Times New Roman"/>
          <w:b/>
          <w:sz w:val="24"/>
          <w:szCs w:val="24"/>
          <w:lang w:val="tr-TR"/>
        </w:rPr>
      </w:pPr>
      <w:r w:rsidRPr="003B401C">
        <w:rPr>
          <w:rFonts w:ascii="Times New Roman" w:hAnsi="Times New Roman" w:cs="Times New Roman"/>
          <w:b/>
          <w:sz w:val="24"/>
          <w:szCs w:val="24"/>
          <w:lang w:val="tr-TR"/>
        </w:rPr>
        <w:t>Sünnetin Fıkhı</w:t>
      </w:r>
    </w:p>
    <w:p w:rsidR="005321B5" w:rsidRPr="003B401C" w:rsidRDefault="005321B5" w:rsidP="005321B5">
      <w:pPr>
        <w:bidi/>
        <w:spacing w:after="0" w:line="480" w:lineRule="auto"/>
        <w:jc w:val="center"/>
        <w:rPr>
          <w:rFonts w:ascii="Times New Roman" w:hAnsi="Times New Roman" w:cs="Times New Roman"/>
          <w:b/>
          <w:sz w:val="24"/>
          <w:szCs w:val="24"/>
          <w:lang w:val="tr-TR"/>
        </w:rPr>
      </w:pPr>
    </w:p>
    <w:p w:rsidR="005321B5" w:rsidRPr="00545C33" w:rsidRDefault="005321B5" w:rsidP="005321B5">
      <w:pPr>
        <w:bidi/>
        <w:spacing w:after="0" w:line="480" w:lineRule="auto"/>
        <w:jc w:val="center"/>
        <w:rPr>
          <w:rFonts w:ascii="Times New Roman" w:hAnsi="Times New Roman" w:cs="Times New Roman"/>
          <w:b/>
          <w:i/>
          <w:iCs/>
          <w:sz w:val="24"/>
          <w:szCs w:val="24"/>
          <w:lang w:val="tr-TR" w:eastAsia="ar-SA"/>
        </w:rPr>
      </w:pPr>
      <w:r w:rsidRPr="00545C33">
        <w:rPr>
          <w:rFonts w:ascii="Times New Roman" w:hAnsi="Times New Roman" w:cs="Times New Roman"/>
          <w:b/>
          <w:i/>
          <w:iCs/>
          <w:sz w:val="24"/>
          <w:szCs w:val="24"/>
          <w:rtl/>
          <w:lang w:val="tr-TR" w:eastAsia="ar-SA"/>
        </w:rPr>
        <w:t>فقه السنة</w:t>
      </w:r>
    </w:p>
    <w:p w:rsidR="005321B5" w:rsidRPr="003B401C" w:rsidRDefault="005321B5" w:rsidP="005321B5">
      <w:pPr>
        <w:spacing w:after="0" w:line="480" w:lineRule="auto"/>
        <w:jc w:val="center"/>
        <w:rPr>
          <w:rFonts w:ascii="Times New Roman" w:hAnsi="Times New Roman" w:cs="Times New Roman"/>
          <w:b/>
          <w:sz w:val="24"/>
          <w:szCs w:val="24"/>
          <w:rtl/>
          <w:lang w:val="tr-TR" w:eastAsia="ar-SA"/>
        </w:rPr>
      </w:pPr>
    </w:p>
    <w:p w:rsidR="005321B5" w:rsidRPr="003B401C" w:rsidRDefault="005321B5" w:rsidP="005A6D2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i/>
          <w:sz w:val="24"/>
          <w:szCs w:val="24"/>
          <w:lang w:val="tr-TR"/>
        </w:rPr>
        <w:t>Sünnetin Fıkhı</w:t>
      </w:r>
      <w:r w:rsidRPr="003B401C">
        <w:rPr>
          <w:rFonts w:ascii="Times New Roman" w:hAnsi="Times New Roman" w:cs="Times New Roman"/>
          <w:sz w:val="24"/>
          <w:szCs w:val="24"/>
          <w:lang w:val="tr-TR"/>
        </w:rPr>
        <w:t xml:space="preserve">, 1727 sayfadan oluşan  üç ciltlik bir kitaptır. </w:t>
      </w:r>
      <w:r w:rsidR="005A6D27">
        <w:rPr>
          <w:rFonts w:ascii="Times New Roman" w:hAnsi="Times New Roman" w:cs="Times New Roman"/>
          <w:sz w:val="24"/>
          <w:szCs w:val="24"/>
          <w:lang w:val="tr-TR"/>
        </w:rPr>
        <w:t>Dar al-</w:t>
      </w:r>
      <w:r w:rsidRPr="003B401C">
        <w:rPr>
          <w:rFonts w:ascii="Times New Roman" w:hAnsi="Times New Roman" w:cs="Times New Roman"/>
          <w:sz w:val="24"/>
          <w:szCs w:val="24"/>
          <w:lang w:val="tr-TR"/>
        </w:rPr>
        <w:t>Kitab Al-Arabi tarafından Lübnan, Beyrut’ta yay</w:t>
      </w:r>
      <w:r w:rsidR="005A6D27">
        <w:rPr>
          <w:rFonts w:ascii="Times New Roman" w:hAnsi="Times New Roman" w:cs="Times New Roman"/>
          <w:sz w:val="24"/>
          <w:szCs w:val="24"/>
          <w:lang w:val="tr-TR"/>
        </w:rPr>
        <w:t>m</w:t>
      </w:r>
      <w:r w:rsidRPr="003B401C">
        <w:rPr>
          <w:rFonts w:ascii="Times New Roman" w:hAnsi="Times New Roman" w:cs="Times New Roman"/>
          <w:sz w:val="24"/>
          <w:szCs w:val="24"/>
          <w:lang w:val="tr-TR"/>
        </w:rPr>
        <w:t>lanmıştır. 1987 yılında yay</w:t>
      </w:r>
      <w:r w:rsidR="005A6D27">
        <w:rPr>
          <w:rFonts w:ascii="Times New Roman" w:hAnsi="Times New Roman" w:cs="Times New Roman"/>
          <w:sz w:val="24"/>
          <w:szCs w:val="24"/>
          <w:lang w:val="tr-TR"/>
        </w:rPr>
        <w:t>m</w:t>
      </w:r>
      <w:r w:rsidRPr="003B401C">
        <w:rPr>
          <w:rFonts w:ascii="Times New Roman" w:hAnsi="Times New Roman" w:cs="Times New Roman"/>
          <w:sz w:val="24"/>
          <w:szCs w:val="24"/>
          <w:lang w:val="tr-TR"/>
        </w:rPr>
        <w:t>lanan 8. baskı özet versiyondur.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Seçilen konular İslam </w:t>
      </w:r>
      <w:r w:rsidRPr="003B401C">
        <w:rPr>
          <w:rFonts w:ascii="Times New Roman" w:hAnsi="Times New Roman" w:cs="Times New Roman"/>
          <w:i/>
          <w:sz w:val="24"/>
          <w:szCs w:val="24"/>
          <w:lang w:val="tr-TR"/>
        </w:rPr>
        <w:t>fıkhı</w:t>
      </w:r>
      <w:r w:rsidRPr="003B401C">
        <w:rPr>
          <w:rFonts w:ascii="Times New Roman" w:hAnsi="Times New Roman" w:cs="Times New Roman"/>
          <w:sz w:val="24"/>
          <w:szCs w:val="24"/>
          <w:lang w:val="tr-TR"/>
        </w:rPr>
        <w:t xml:space="preserve">nın (hukuk ilminin) uygulama yönüyle ilgili konulardır. Bunlar Kuran, Sünnet (Peygamberî gelenek) ve </w:t>
      </w:r>
      <w:r w:rsidR="005A6D27" w:rsidRPr="003B401C">
        <w:rPr>
          <w:rFonts w:ascii="Times New Roman" w:hAnsi="Times New Roman" w:cs="Times New Roman"/>
          <w:i/>
          <w:sz w:val="24"/>
          <w:szCs w:val="24"/>
          <w:lang w:val="tr-TR"/>
        </w:rPr>
        <w:t>i</w:t>
      </w:r>
      <w:r w:rsidRPr="003B401C">
        <w:rPr>
          <w:rFonts w:ascii="Times New Roman" w:hAnsi="Times New Roman" w:cs="Times New Roman"/>
          <w:i/>
          <w:sz w:val="24"/>
          <w:szCs w:val="24"/>
          <w:lang w:val="tr-TR"/>
        </w:rPr>
        <w:t>cma</w:t>
      </w:r>
      <w:r w:rsidRPr="003B401C">
        <w:rPr>
          <w:rFonts w:ascii="Times New Roman" w:hAnsi="Times New Roman" w:cs="Times New Roman"/>
          <w:sz w:val="24"/>
          <w:szCs w:val="24"/>
          <w:lang w:val="tr-TR"/>
        </w:rPr>
        <w:t>dan (çoğunluğun ittifakından) elde edilen delillerle desteklenmektedir. Çoğu yerde kaynaklar ve rivayet zincirleri açık bir şekilde verilmiştir. Yazar, gerekmedikçe, görüş farklılıklarına atıfta bulunmaktan özenle kaçınmaktadır.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Birinci Ciltte yer alan, İslam’ın genel mesajı ve amacı ile ilgili  genel bir ön</w:t>
      </w:r>
      <w:r w:rsidR="005A6D27">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sözle başlamaktadır. Sonrasında şeriat tartışılmaktadır. Yazar, fıkıh okullarına (</w:t>
      </w:r>
      <w:r w:rsidRPr="003B401C">
        <w:rPr>
          <w:rFonts w:ascii="Times New Roman" w:hAnsi="Times New Roman" w:cs="Times New Roman"/>
          <w:i/>
          <w:sz w:val="24"/>
          <w:szCs w:val="24"/>
          <w:lang w:val="tr-TR"/>
        </w:rPr>
        <w:t>mezheplere</w:t>
      </w:r>
      <w:r w:rsidRPr="003B401C">
        <w:rPr>
          <w:rFonts w:ascii="Times New Roman" w:hAnsi="Times New Roman" w:cs="Times New Roman"/>
          <w:sz w:val="24"/>
          <w:szCs w:val="24"/>
          <w:lang w:val="tr-TR"/>
        </w:rPr>
        <w:t xml:space="preserve">) gözü kapalı bir şekilde bağlı kalmaya karşı uyarıda bulunmakta ve </w:t>
      </w:r>
      <w:r w:rsidRPr="003B401C">
        <w:rPr>
          <w:rFonts w:ascii="Times New Roman" w:hAnsi="Times New Roman" w:cs="Times New Roman"/>
          <w:i/>
          <w:sz w:val="24"/>
          <w:szCs w:val="24"/>
          <w:lang w:val="tr-TR"/>
        </w:rPr>
        <w:t>içtihat</w:t>
      </w:r>
      <w:r w:rsidRPr="003B401C">
        <w:rPr>
          <w:rFonts w:ascii="Times New Roman" w:hAnsi="Times New Roman" w:cs="Times New Roman"/>
          <w:sz w:val="24"/>
          <w:szCs w:val="24"/>
          <w:lang w:val="tr-TR"/>
        </w:rPr>
        <w:t xml:space="preserve"> (bağımsız akıl yürütme) kapısını açık tutmanın zorunluluğuna vurgu yapmaktadır.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Yazar, dallara ayrılan başlıklar altında sınıflandırılmış ve çoğu yerde açıklayıcı notlar eşliğinde daha alt başlıklara ayrılmış bulunan; her konu için net ve detaylı açıklamalar getiren mükemmel bir derleme yöntemi kullanmaktadır. Çoğu sayfada dipnotlar da yer almakta ve metinde geçen bazı zor kelimeler için okuyucuya açıklamalar sunmaktadır.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Birinci Cilt toplam 688 sayfadan oluşmakta ve aşağıdaki gündelik yükümlülükler ile dini adetleri kapsamaktadır:</w:t>
      </w:r>
    </w:p>
    <w:p w:rsidR="005321B5" w:rsidRPr="003B401C" w:rsidRDefault="005321B5" w:rsidP="005321B5">
      <w:pPr>
        <w:numPr>
          <w:ilvl w:val="0"/>
          <w:numId w:val="1"/>
        </w:num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Umre</w:t>
      </w:r>
    </w:p>
    <w:p w:rsidR="005321B5" w:rsidRPr="003B401C" w:rsidRDefault="005321B5" w:rsidP="005321B5">
      <w:pPr>
        <w:numPr>
          <w:ilvl w:val="0"/>
          <w:numId w:val="1"/>
        </w:num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Veda </w:t>
      </w:r>
      <w:r w:rsidRPr="003B401C">
        <w:rPr>
          <w:rFonts w:ascii="Times New Roman" w:hAnsi="Times New Roman" w:cs="Times New Roman"/>
          <w:i/>
          <w:sz w:val="24"/>
          <w:szCs w:val="24"/>
          <w:lang w:val="tr-TR"/>
        </w:rPr>
        <w:t>tavaf</w:t>
      </w:r>
      <w:r w:rsidRPr="003B401C">
        <w:rPr>
          <w:rFonts w:ascii="Times New Roman" w:hAnsi="Times New Roman" w:cs="Times New Roman"/>
          <w:sz w:val="24"/>
          <w:szCs w:val="24"/>
          <w:lang w:val="tr-TR"/>
        </w:rPr>
        <w:t>ı</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A6D2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Birinci ciltte </w:t>
      </w:r>
      <w:r w:rsidRPr="003B401C">
        <w:rPr>
          <w:rFonts w:ascii="Times New Roman" w:hAnsi="Times New Roman" w:cs="Times New Roman"/>
          <w:i/>
          <w:sz w:val="24"/>
          <w:szCs w:val="24"/>
          <w:lang w:val="tr-TR"/>
        </w:rPr>
        <w:t>Kisve</w:t>
      </w:r>
      <w:r w:rsidRPr="003B401C">
        <w:rPr>
          <w:rFonts w:ascii="Times New Roman" w:hAnsi="Times New Roman" w:cs="Times New Roman"/>
          <w:sz w:val="24"/>
          <w:szCs w:val="24"/>
          <w:lang w:val="tr-TR"/>
        </w:rPr>
        <w:t xml:space="preserve"> (</w:t>
      </w:r>
      <w:r w:rsidRPr="003B401C">
        <w:rPr>
          <w:rFonts w:ascii="Times New Roman" w:hAnsi="Times New Roman" w:cs="Times New Roman"/>
          <w:i/>
          <w:sz w:val="24"/>
          <w:szCs w:val="24"/>
          <w:lang w:val="tr-TR"/>
        </w:rPr>
        <w:t>Kâbe</w:t>
      </w:r>
      <w:r w:rsidRPr="003B401C">
        <w:rPr>
          <w:rFonts w:ascii="Times New Roman" w:hAnsi="Times New Roman" w:cs="Times New Roman"/>
          <w:sz w:val="24"/>
          <w:szCs w:val="24"/>
          <w:lang w:val="tr-TR"/>
        </w:rPr>
        <w:t xml:space="preserve">’nin üzerindeki siyah örtü), Kâbe’nin güzelleştirilmesi ve </w:t>
      </w:r>
      <w:r w:rsidR="005A6D27" w:rsidRPr="005A6D27">
        <w:rPr>
          <w:rFonts w:ascii="Times New Roman" w:hAnsi="Times New Roman" w:cs="Times New Roman"/>
          <w:sz w:val="24"/>
          <w:szCs w:val="24"/>
          <w:lang w:val="tr-TR"/>
        </w:rPr>
        <w:t xml:space="preserve">üç </w:t>
      </w:r>
      <w:r w:rsidRPr="003B401C">
        <w:rPr>
          <w:rFonts w:ascii="Times New Roman" w:hAnsi="Times New Roman" w:cs="Times New Roman"/>
          <w:sz w:val="24"/>
          <w:szCs w:val="24"/>
          <w:lang w:val="tr-TR"/>
        </w:rPr>
        <w:t xml:space="preserve"> Kutsal mekânı (</w:t>
      </w:r>
      <w:r w:rsidRPr="003B401C">
        <w:rPr>
          <w:rFonts w:ascii="Times New Roman" w:hAnsi="Times New Roman" w:cs="Times New Roman"/>
          <w:i/>
          <w:sz w:val="24"/>
          <w:szCs w:val="24"/>
          <w:lang w:val="tr-TR"/>
        </w:rPr>
        <w:t>Kâbe</w:t>
      </w:r>
      <w:r w:rsidRPr="003B401C">
        <w:rPr>
          <w:rFonts w:ascii="Times New Roman" w:hAnsi="Times New Roman" w:cs="Times New Roman"/>
          <w:sz w:val="24"/>
          <w:szCs w:val="24"/>
          <w:lang w:val="tr-TR"/>
        </w:rPr>
        <w:t xml:space="preserve">, </w:t>
      </w:r>
      <w:r w:rsidRPr="005A6D27">
        <w:rPr>
          <w:rFonts w:ascii="Times New Roman" w:hAnsi="Times New Roman" w:cs="Times New Roman"/>
          <w:i/>
          <w:iCs/>
          <w:sz w:val="24"/>
          <w:szCs w:val="24"/>
          <w:lang w:val="tr-TR"/>
        </w:rPr>
        <w:t>Mescid-i Nebevî</w:t>
      </w:r>
      <w:r w:rsidRPr="003B401C">
        <w:rPr>
          <w:rFonts w:ascii="Times New Roman" w:hAnsi="Times New Roman" w:cs="Times New Roman"/>
          <w:sz w:val="24"/>
          <w:szCs w:val="24"/>
          <w:lang w:val="tr-TR"/>
        </w:rPr>
        <w:t xml:space="preserve">, </w:t>
      </w:r>
      <w:r w:rsidRPr="003B401C">
        <w:rPr>
          <w:rFonts w:ascii="Times New Roman" w:hAnsi="Times New Roman" w:cs="Times New Roman"/>
          <w:i/>
          <w:sz w:val="24"/>
          <w:szCs w:val="24"/>
          <w:lang w:val="tr-TR"/>
        </w:rPr>
        <w:t>Mescid-i Aksa</w:t>
      </w:r>
      <w:r w:rsidRPr="003B401C">
        <w:rPr>
          <w:rFonts w:ascii="Times New Roman" w:hAnsi="Times New Roman" w:cs="Times New Roman"/>
          <w:sz w:val="24"/>
          <w:szCs w:val="24"/>
          <w:lang w:val="tr-TR"/>
        </w:rPr>
        <w:t>) ziyaret etmenin arzu edilirliği hakkında</w:t>
      </w:r>
      <w:r w:rsidR="005A6D27">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daha ayrıntılı açıklamalar da yer almaktadır.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İkinci cilt 561 sayfadan oluşmakta ve beş temel konuyu kapsamaktadır. Bunlar: (cildin neredeyse üçte birini oluşturan) Evlilik, (kadınlar özelindeki) dış görünüş, Boşanma, Şer’î cezalandırma (</w:t>
      </w:r>
      <w:r w:rsidRPr="003B401C">
        <w:rPr>
          <w:rFonts w:ascii="Times New Roman" w:hAnsi="Times New Roman" w:cs="Times New Roman"/>
          <w:i/>
          <w:sz w:val="24"/>
          <w:szCs w:val="24"/>
          <w:lang w:val="tr-TR"/>
        </w:rPr>
        <w:t>Hudud</w:t>
      </w:r>
      <w:r w:rsidRPr="003B401C">
        <w:rPr>
          <w:rFonts w:ascii="Times New Roman" w:hAnsi="Times New Roman" w:cs="Times New Roman"/>
          <w:sz w:val="24"/>
          <w:szCs w:val="24"/>
          <w:lang w:val="tr-TR"/>
        </w:rPr>
        <w:t>) ve cürümlerden oluşmaktadır. Bu konular, bunlara dair hükümler de dâhil olmak üzere, tüm boyutlarıyla açıklanmıştır.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Son olarak, 478 sayfadan oluşan üçüncü cilt çeşitli konuları içermektedir. </w:t>
      </w:r>
      <w:r w:rsidRPr="003B401C">
        <w:rPr>
          <w:rFonts w:ascii="Times New Roman" w:hAnsi="Times New Roman" w:cs="Times New Roman"/>
          <w:i/>
          <w:sz w:val="24"/>
          <w:szCs w:val="24"/>
          <w:lang w:val="tr-TR"/>
        </w:rPr>
        <w:t>Cihat</w:t>
      </w:r>
      <w:r w:rsidRPr="003B401C">
        <w:rPr>
          <w:rFonts w:ascii="Times New Roman" w:hAnsi="Times New Roman" w:cs="Times New Roman"/>
          <w:sz w:val="24"/>
          <w:szCs w:val="24"/>
          <w:lang w:val="tr-TR"/>
        </w:rPr>
        <w:t xml:space="preserve"> konusu bu cildin beşte birini oluşturmaktadır. Bunun dışında; iman, yiyecek, giyim ve iktisadi muameleler gibi pek çok konu ele alınmaktadır. Bunlardan sonuncusu ayrıntılı bir şekilde incelenmiştir.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 xml:space="preserve">Her cilt, içindekiler kısmındaki sütunlarla açık bir şekilde tasnif edilmiştir. En önemli özelliği sadeliği olan bu kitap </w:t>
      </w:r>
      <w:r w:rsidRPr="003B401C">
        <w:rPr>
          <w:rFonts w:ascii="Times New Roman" w:hAnsi="Times New Roman" w:cs="Times New Roman"/>
          <w:i/>
          <w:sz w:val="24"/>
          <w:szCs w:val="24"/>
          <w:lang w:val="tr-TR"/>
        </w:rPr>
        <w:t>fıkıh</w:t>
      </w:r>
      <w:r w:rsidRPr="003B401C">
        <w:rPr>
          <w:rFonts w:ascii="Times New Roman" w:hAnsi="Times New Roman" w:cs="Times New Roman"/>
          <w:sz w:val="24"/>
          <w:szCs w:val="24"/>
          <w:lang w:val="tr-TR"/>
        </w:rPr>
        <w:t xml:space="preserve"> alanında özlü bir kaynak olarak görülmektedir. Kitap kolay anlaşılabilir olup çok temiz bir şekilde basılmıştır. Kitaptaki bilgiler metodik bir şekilde sıralanmıştır ve bu da okuyucunun konular arasında kolay ve hızlı bir şekilde gezinebilmesini sağlamaktadır.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A6D2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Ancak, kitaba bir eleştiri yöneltilmekte ve, her ne kadar kitapta hadisler (İslam Peygamberinin sözleri ve fiilleri ile ilgili rivayetler) alıntılanmış ve bunların kaynaklarına atıfta bulunulmuş ise de bunların cilt numaraları zikredilmediği için kaynakların takip edilemez bir h</w:t>
      </w:r>
      <w:r w:rsidR="005A6D27" w:rsidRPr="005A6D27">
        <w:rPr>
          <w:rFonts w:ascii="Times New Roman" w:hAnsi="Times New Roman" w:cs="Times New Roman"/>
          <w:sz w:val="24"/>
          <w:szCs w:val="24"/>
          <w:lang w:val="tr-TR"/>
        </w:rPr>
        <w:t>â</w:t>
      </w:r>
      <w:bookmarkStart w:id="0" w:name="_GoBack"/>
      <w:bookmarkEnd w:id="0"/>
      <w:r w:rsidRPr="003B401C">
        <w:rPr>
          <w:rFonts w:ascii="Times New Roman" w:hAnsi="Times New Roman" w:cs="Times New Roman"/>
          <w:sz w:val="24"/>
          <w:szCs w:val="24"/>
          <w:lang w:val="tr-TR"/>
        </w:rPr>
        <w:t>le sokulmuş olduğu söylenmektedir. Buna ek olarak, yazar kendisinden alıntı yaptığı kişilerin eserlerine atıfta bulunmamıştır.</w:t>
      </w:r>
    </w:p>
    <w:p w:rsidR="005321B5" w:rsidRPr="003B401C" w:rsidRDefault="005321B5" w:rsidP="005321B5">
      <w:pPr>
        <w:spacing w:after="0" w:line="480" w:lineRule="auto"/>
        <w:jc w:val="both"/>
        <w:rPr>
          <w:rFonts w:ascii="Times New Roman" w:hAnsi="Times New Roman" w:cs="Times New Roman"/>
          <w:sz w:val="24"/>
          <w:szCs w:val="24"/>
          <w:lang w:val="tr-TR"/>
        </w:rPr>
      </w:pPr>
    </w:p>
    <w:p w:rsidR="005321B5" w:rsidRPr="003B401C" w:rsidRDefault="005321B5" w:rsidP="005321B5">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Dahlia Sabry</w:t>
      </w:r>
    </w:p>
    <w:p w:rsidR="009A0E2D" w:rsidRPr="005321B5" w:rsidRDefault="005321B5" w:rsidP="005321B5">
      <w:pPr>
        <w:spacing w:after="0" w:line="480" w:lineRule="auto"/>
        <w:jc w:val="right"/>
        <w:rPr>
          <w:rFonts w:ascii="Times New Roman" w:hAnsi="Times New Roman" w:cs="Times New Roman"/>
          <w:sz w:val="24"/>
          <w:szCs w:val="24"/>
        </w:rPr>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532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8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4D"/>
    <w:rsid w:val="0000654D"/>
    <w:rsid w:val="000071C0"/>
    <w:rsid w:val="00083E80"/>
    <w:rsid w:val="001E2E9F"/>
    <w:rsid w:val="005321B5"/>
    <w:rsid w:val="005A6D27"/>
    <w:rsid w:val="006C6B50"/>
    <w:rsid w:val="00791238"/>
    <w:rsid w:val="009B3BEC"/>
    <w:rsid w:val="00C36B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E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E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478</Words>
  <Characters>2730</Characters>
  <Application>Microsoft Office Word</Application>
  <DocSecurity>0</DocSecurity>
  <Lines>22</Lines>
  <Paragraphs>6</Paragraphs>
  <ScaleCrop>false</ScaleCrop>
  <Company>Microsoft</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2015-02-23T13:11:00Z</dcterms:created>
  <dcterms:modified xsi:type="dcterms:W3CDTF">2015-06-12T12:30:00Z</dcterms:modified>
</cp:coreProperties>
</file>