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81" w:rsidRPr="00DA0DE2" w:rsidRDefault="00D07C81" w:rsidP="00D12469">
      <w:pPr>
        <w:spacing w:after="0" w:line="480" w:lineRule="auto"/>
        <w:rPr>
          <w:rFonts w:ascii="Times New Roman" w:hAnsi="Times New Roman" w:cs="Times New Roman"/>
          <w:sz w:val="24"/>
          <w:szCs w:val="24"/>
          <w:lang w:val="en-AU"/>
        </w:rPr>
      </w:pPr>
      <w:r w:rsidRPr="00DA0DE2">
        <w:rPr>
          <w:rFonts w:ascii="Times New Roman" w:hAnsi="Times New Roman" w:cs="Times New Roman"/>
          <w:sz w:val="24"/>
          <w:szCs w:val="24"/>
          <w:lang w:val="en-AU"/>
        </w:rPr>
        <w:t>Adil,</w:t>
      </w:r>
      <w:r>
        <w:rPr>
          <w:rFonts w:ascii="Times New Roman" w:hAnsi="Times New Roman" w:cs="Times New Roman"/>
          <w:sz w:val="24"/>
          <w:szCs w:val="24"/>
          <w:lang w:val="en-AU"/>
        </w:rPr>
        <w:t xml:space="preserve"> </w:t>
      </w:r>
      <w:r w:rsidRPr="00DA0DE2">
        <w:rPr>
          <w:rFonts w:ascii="Times New Roman" w:hAnsi="Times New Roman" w:cs="Times New Roman"/>
          <w:sz w:val="24"/>
          <w:szCs w:val="24"/>
          <w:lang w:val="en-AU"/>
        </w:rPr>
        <w:t xml:space="preserve">Sutan Kali Malikul. </w:t>
      </w:r>
      <w:r w:rsidRPr="00DA0DE2">
        <w:rPr>
          <w:rFonts w:ascii="Times New Roman" w:hAnsi="Times New Roman" w:cs="Times New Roman"/>
          <w:i/>
          <w:iCs/>
          <w:sz w:val="24"/>
          <w:szCs w:val="24"/>
          <w:lang w:val="en-AU"/>
        </w:rPr>
        <w:t>Pembaharuan Hukum Perdata Kita</w:t>
      </w:r>
      <w:r w:rsidRPr="00DA0DE2">
        <w:rPr>
          <w:rFonts w:ascii="Times New Roman" w:hAnsi="Times New Roman" w:cs="Times New Roman"/>
          <w:sz w:val="24"/>
          <w:szCs w:val="24"/>
          <w:lang w:val="en-AU"/>
        </w:rPr>
        <w:t xml:space="preserve">. </w:t>
      </w:r>
      <w:r>
        <w:rPr>
          <w:rFonts w:ascii="Times New Roman" w:hAnsi="Times New Roman" w:cs="Times New Roman"/>
          <w:sz w:val="24"/>
          <w:szCs w:val="24"/>
          <w:lang w:val="en-AU"/>
        </w:rPr>
        <w:t>J</w:t>
      </w:r>
      <w:r w:rsidRPr="00DA0DE2">
        <w:rPr>
          <w:rFonts w:ascii="Times New Roman" w:hAnsi="Times New Roman" w:cs="Times New Roman"/>
          <w:sz w:val="24"/>
          <w:szCs w:val="24"/>
          <w:lang w:val="en-AU"/>
        </w:rPr>
        <w:t>akarta: Pembangunan, 1955, 183</w:t>
      </w:r>
      <w:r w:rsidR="00D12469">
        <w:rPr>
          <w:rFonts w:ascii="Times New Roman" w:hAnsi="Times New Roman" w:cs="Times New Roman"/>
          <w:sz w:val="24"/>
          <w:szCs w:val="24"/>
          <w:lang w:val="en-AU"/>
        </w:rPr>
        <w:t>p</w:t>
      </w:r>
      <w:r w:rsidRPr="00DA0DE2">
        <w:rPr>
          <w:rFonts w:ascii="Times New Roman" w:hAnsi="Times New Roman" w:cs="Times New Roman"/>
          <w:sz w:val="24"/>
          <w:szCs w:val="24"/>
          <w:lang w:val="en-AU"/>
        </w:rPr>
        <w:t>p.</w:t>
      </w:r>
    </w:p>
    <w:p w:rsidR="00D07C81" w:rsidRPr="00DA0DE2" w:rsidRDefault="00D07C81" w:rsidP="00D07C81">
      <w:pPr>
        <w:bidi/>
        <w:spacing w:after="0" w:line="480" w:lineRule="auto"/>
        <w:rPr>
          <w:rFonts w:ascii="Times New Roman" w:hAnsi="Times New Roman" w:cs="Times New Roman"/>
          <w:sz w:val="24"/>
          <w:szCs w:val="24"/>
          <w:lang w:val="en-AU"/>
        </w:rPr>
      </w:pPr>
    </w:p>
    <w:p w:rsidR="00D07C81" w:rsidRPr="00F96A6C" w:rsidRDefault="00D07C81" w:rsidP="00D07C81">
      <w:pPr>
        <w:bidi/>
        <w:spacing w:after="0" w:line="480" w:lineRule="auto"/>
        <w:jc w:val="center"/>
        <w:rPr>
          <w:rFonts w:ascii="Times New Roman" w:hAnsi="Times New Roman" w:cs="Times New Roman"/>
          <w:b/>
          <w:bCs/>
          <w:sz w:val="24"/>
          <w:szCs w:val="24"/>
          <w:rtl/>
          <w:lang w:val="en-AU"/>
        </w:rPr>
      </w:pPr>
      <w:bookmarkStart w:id="0" w:name="_GoBack"/>
      <w:r w:rsidRPr="00F96A6C">
        <w:rPr>
          <w:rFonts w:ascii="Times New Roman" w:hAnsi="Times New Roman" w:cs="Times New Roman"/>
          <w:b/>
          <w:bCs/>
          <w:sz w:val="24"/>
          <w:szCs w:val="24"/>
          <w:rtl/>
          <w:lang w:val="en-AU"/>
        </w:rPr>
        <w:t>ملخص</w:t>
      </w:r>
    </w:p>
    <w:bookmarkEnd w:id="0"/>
    <w:p w:rsidR="00D07C81" w:rsidRPr="00DA0DE2" w:rsidRDefault="00D07C81" w:rsidP="00D07C81">
      <w:pPr>
        <w:bidi/>
        <w:spacing w:after="0" w:line="480" w:lineRule="auto"/>
        <w:jc w:val="center"/>
        <w:rPr>
          <w:rFonts w:ascii="Times New Roman" w:hAnsi="Times New Roman" w:cs="Times New Roman"/>
          <w:sz w:val="24"/>
          <w:szCs w:val="24"/>
          <w:rtl/>
          <w:lang w:val="en-AU"/>
        </w:rPr>
      </w:pPr>
    </w:p>
    <w:p w:rsidR="00D07C81" w:rsidRPr="00DA0DE2" w:rsidRDefault="00D07C81" w:rsidP="00D07C81">
      <w:pPr>
        <w:bidi/>
        <w:spacing w:after="0" w:line="480" w:lineRule="auto"/>
        <w:jc w:val="center"/>
        <w:rPr>
          <w:rFonts w:ascii="Times New Roman" w:hAnsi="Times New Roman" w:cs="Times New Roman"/>
          <w:b/>
          <w:bCs/>
          <w:sz w:val="24"/>
          <w:szCs w:val="24"/>
          <w:rtl/>
          <w:lang w:val="en-AU"/>
        </w:rPr>
      </w:pPr>
      <w:r w:rsidRPr="00DA0DE2">
        <w:rPr>
          <w:rFonts w:ascii="Times New Roman" w:hAnsi="Times New Roman" w:cs="Times New Roman"/>
          <w:b/>
          <w:bCs/>
          <w:sz w:val="24"/>
          <w:szCs w:val="24"/>
          <w:rtl/>
          <w:lang w:val="en-AU"/>
        </w:rPr>
        <w:t>تجديد قانوننا المدني</w:t>
      </w:r>
    </w:p>
    <w:p w:rsidR="00D07C81" w:rsidRPr="00DA0DE2" w:rsidRDefault="00D07C81" w:rsidP="00D07C81">
      <w:pPr>
        <w:bidi/>
        <w:spacing w:after="0" w:line="480" w:lineRule="auto"/>
        <w:jc w:val="center"/>
        <w:rPr>
          <w:rFonts w:ascii="Times New Roman" w:hAnsi="Times New Roman" w:cs="Times New Roman"/>
          <w:b/>
          <w:bCs/>
          <w:sz w:val="24"/>
          <w:szCs w:val="24"/>
          <w:lang w:val="en-AU"/>
        </w:rPr>
      </w:pPr>
    </w:p>
    <w:p w:rsidR="00D07C81" w:rsidRPr="00DA0DE2" w:rsidRDefault="00D07C81" w:rsidP="00D07C81">
      <w:pPr>
        <w:spacing w:after="0" w:line="480" w:lineRule="auto"/>
        <w:jc w:val="center"/>
        <w:rPr>
          <w:rFonts w:ascii="Times New Roman" w:hAnsi="Times New Roman" w:cs="Times New Roman"/>
          <w:sz w:val="24"/>
          <w:szCs w:val="24"/>
          <w:rtl/>
          <w:lang w:val="en-AU" w:bidi="ar-SY"/>
        </w:rPr>
      </w:pPr>
      <w:r w:rsidRPr="00DA0DE2">
        <w:rPr>
          <w:rFonts w:ascii="Times New Roman" w:hAnsi="Times New Roman" w:cs="Times New Roman"/>
          <w:i/>
          <w:iCs/>
          <w:sz w:val="24"/>
          <w:szCs w:val="24"/>
          <w:lang w:val="en-AU"/>
        </w:rPr>
        <w:t>Pembaharuan Hukum Perdata Kita</w:t>
      </w:r>
    </w:p>
    <w:p w:rsidR="00D07C81" w:rsidRPr="00DA0DE2" w:rsidRDefault="00D07C81" w:rsidP="00D07C81">
      <w:pPr>
        <w:bidi/>
        <w:spacing w:after="0" w:line="480" w:lineRule="auto"/>
        <w:rPr>
          <w:rFonts w:ascii="Times New Roman" w:hAnsi="Times New Roman" w:cs="Times New Roman"/>
          <w:sz w:val="24"/>
          <w:szCs w:val="24"/>
          <w:lang w:val="en-AU"/>
        </w:rPr>
      </w:pPr>
    </w:p>
    <w:p w:rsidR="00D07C81" w:rsidRPr="00DA0DE2" w:rsidRDefault="00D07C81" w:rsidP="00D07C81">
      <w:pPr>
        <w:bidi/>
        <w:spacing w:after="0" w:line="480" w:lineRule="auto"/>
        <w:rPr>
          <w:rFonts w:ascii="Times New Roman" w:hAnsi="Times New Roman" w:cs="Times New Roman"/>
          <w:sz w:val="24"/>
          <w:szCs w:val="24"/>
          <w:rtl/>
          <w:lang w:val="en-AU"/>
        </w:rPr>
      </w:pPr>
      <w:r w:rsidRPr="00DA0DE2">
        <w:rPr>
          <w:rFonts w:ascii="Times New Roman" w:hAnsi="Times New Roman" w:cs="Times New Roman"/>
          <w:sz w:val="24"/>
          <w:szCs w:val="24"/>
          <w:rtl/>
          <w:lang w:val="en-AU"/>
        </w:rPr>
        <w:t xml:space="preserve">يدرس هذا العمل نظام القانون المدني الذي كان ساريا في إندونيسيا في الخمسينات من القرن العشرين، مبينا </w:t>
      </w:r>
      <w:r w:rsidR="00D12469">
        <w:rPr>
          <w:rFonts w:ascii="Times New Roman" w:hAnsi="Times New Roman" w:cs="Times New Roman"/>
          <w:sz w:val="24"/>
          <w:szCs w:val="24"/>
          <w:rtl/>
          <w:lang w:val="en-AU"/>
        </w:rPr>
        <w:t xml:space="preserve">ما </w:t>
      </w:r>
      <w:r w:rsidRPr="00DA0DE2">
        <w:rPr>
          <w:rFonts w:ascii="Times New Roman" w:hAnsi="Times New Roman" w:cs="Times New Roman"/>
          <w:sz w:val="24"/>
          <w:szCs w:val="24"/>
          <w:rtl/>
          <w:lang w:val="en-AU"/>
        </w:rPr>
        <w:t>استوحاه ذلك النظام من كل من القانون المدني الأوروبي و القانون العرفي الإندونيسي.</w:t>
      </w:r>
    </w:p>
    <w:p w:rsidR="00D07C81" w:rsidRPr="00DA0DE2" w:rsidRDefault="00D07C81" w:rsidP="00D07C81">
      <w:pPr>
        <w:bidi/>
        <w:spacing w:after="0" w:line="480" w:lineRule="auto"/>
        <w:rPr>
          <w:rFonts w:ascii="Times New Roman" w:hAnsi="Times New Roman" w:cs="Times New Roman"/>
          <w:sz w:val="24"/>
          <w:szCs w:val="24"/>
          <w:rtl/>
          <w:lang w:val="en-AU"/>
        </w:rPr>
      </w:pPr>
    </w:p>
    <w:p w:rsidR="00D07C81" w:rsidRPr="00DA0DE2" w:rsidRDefault="00D07C81" w:rsidP="00D12469">
      <w:pPr>
        <w:bidi/>
        <w:spacing w:after="0" w:line="480" w:lineRule="auto"/>
        <w:rPr>
          <w:rFonts w:ascii="Times New Roman" w:hAnsi="Times New Roman" w:cs="Times New Roman"/>
          <w:sz w:val="24"/>
          <w:szCs w:val="24"/>
          <w:rtl/>
          <w:lang w:val="en-AU"/>
        </w:rPr>
      </w:pPr>
      <w:r w:rsidRPr="00DA0DE2">
        <w:rPr>
          <w:rFonts w:ascii="Times New Roman" w:hAnsi="Times New Roman" w:cs="Times New Roman"/>
          <w:sz w:val="24"/>
          <w:szCs w:val="24"/>
          <w:rtl/>
          <w:lang w:val="en-AU"/>
        </w:rPr>
        <w:t>و يقسم هذا الكتاب إلى جز</w:t>
      </w:r>
      <w:r w:rsidR="00D12469">
        <w:rPr>
          <w:rFonts w:ascii="Times New Roman" w:hAnsi="Times New Roman" w:cs="Times New Roman" w:hint="cs"/>
          <w:sz w:val="24"/>
          <w:szCs w:val="24"/>
          <w:rtl/>
          <w:lang w:val="en-AU"/>
        </w:rPr>
        <w:t>أ</w:t>
      </w:r>
      <w:r w:rsidRPr="00DA0DE2">
        <w:rPr>
          <w:rFonts w:ascii="Times New Roman" w:hAnsi="Times New Roman" w:cs="Times New Roman"/>
          <w:sz w:val="24"/>
          <w:szCs w:val="24"/>
          <w:rtl/>
          <w:lang w:val="en-AU"/>
        </w:rPr>
        <w:t xml:space="preserve">ين: يقدم الأول لمحة عن محتوى </w:t>
      </w:r>
      <w:r w:rsidRPr="00DA0DE2">
        <w:rPr>
          <w:rFonts w:ascii="Times New Roman" w:hAnsi="Times New Roman" w:cs="Times New Roman"/>
          <w:sz w:val="24"/>
          <w:szCs w:val="24"/>
          <w:rtl/>
          <w:lang w:val="en-AU" w:bidi="ar-SY"/>
        </w:rPr>
        <w:t>ا</w:t>
      </w:r>
      <w:r w:rsidRPr="00DA0DE2">
        <w:rPr>
          <w:rFonts w:ascii="Times New Roman" w:hAnsi="Times New Roman" w:cs="Times New Roman"/>
          <w:sz w:val="24"/>
          <w:szCs w:val="24"/>
          <w:rtl/>
          <w:lang w:val="en-AU"/>
        </w:rPr>
        <w:t xml:space="preserve">لمواضيع المتصلة بالمناقشة، بينما يتناول الجزء الثاني مؤسسات القانون المدني الإندونيسي و أدواته. لقد كان المؤلف قاضيا في المحكمة العليا الإندونيسية لذلك فقد أورد دراسة لحالات من كلا القانونين المدني الأوروبي و العرفي الإندونيسي. و في كامل العمل نجد أن المؤلف يدرس نقاط التشابه والاختلاف بين النظامين آخذا بالاعتبار السياق التاريخي للقانون المدني الإندونيسي في القرنين التاسع عشر و العشرين.  </w:t>
      </w:r>
    </w:p>
    <w:p w:rsidR="00D07C81" w:rsidRPr="00DA0DE2" w:rsidRDefault="00D07C81" w:rsidP="00D07C81">
      <w:pPr>
        <w:bidi/>
        <w:spacing w:after="0" w:line="480" w:lineRule="auto"/>
        <w:rPr>
          <w:rFonts w:ascii="Times New Roman" w:hAnsi="Times New Roman" w:cs="Times New Roman"/>
          <w:sz w:val="24"/>
          <w:szCs w:val="24"/>
          <w:lang w:val="en-AU"/>
        </w:rPr>
      </w:pPr>
      <w:r w:rsidRPr="00DA0DE2">
        <w:rPr>
          <w:rFonts w:ascii="Times New Roman" w:hAnsi="Times New Roman" w:cs="Times New Roman"/>
          <w:sz w:val="24"/>
          <w:szCs w:val="24"/>
          <w:rtl/>
          <w:lang w:val="en-AU"/>
        </w:rPr>
        <w:t xml:space="preserve"> </w:t>
      </w:r>
    </w:p>
    <w:p w:rsidR="00D07C81" w:rsidRPr="00DA0DE2" w:rsidRDefault="00D07C81" w:rsidP="00D07C81">
      <w:pPr>
        <w:bidi/>
        <w:spacing w:after="0" w:line="480" w:lineRule="auto"/>
        <w:rPr>
          <w:rFonts w:ascii="Times New Roman" w:hAnsi="Times New Roman" w:cs="Times New Roman"/>
          <w:sz w:val="24"/>
          <w:szCs w:val="24"/>
          <w:rtl/>
          <w:lang w:val="en-AU"/>
        </w:rPr>
      </w:pPr>
      <w:r w:rsidRPr="00DA0DE2">
        <w:rPr>
          <w:rFonts w:ascii="Times New Roman" w:hAnsi="Times New Roman" w:cs="Times New Roman"/>
          <w:sz w:val="24"/>
          <w:szCs w:val="24"/>
          <w:rtl/>
          <w:lang w:val="en-AU"/>
        </w:rPr>
        <w:t>لقد تمت كتابة هذا العمل خلال العقد الأول على وجود إندونيسيا كدولة مستقلة. و هكذا يبدو أن التأثير الاستعماري الهولندي ما يزال باديا للعيان بوضوح أثناء المناقشة. فقد تم استخدام كلمات و عبارات و فقرات كاملة باللغة الهولندية في مواضع مختلفة من الكتاب مفترضا بذلك أن القارئ يفهم اللغة الهولندية. و هذا يعطي فكرة عن الجمهور المستهدف، فهو جمهور قراء مثقف و لو أنه غير مختص.</w:t>
      </w:r>
    </w:p>
    <w:p w:rsidR="00D07C81" w:rsidRPr="00DA0DE2" w:rsidRDefault="00D07C81" w:rsidP="00D07C81">
      <w:pPr>
        <w:bidi/>
        <w:spacing w:after="0" w:line="480" w:lineRule="auto"/>
        <w:rPr>
          <w:rFonts w:ascii="Times New Roman" w:hAnsi="Times New Roman" w:cs="Times New Roman"/>
          <w:sz w:val="24"/>
          <w:szCs w:val="24"/>
          <w:rtl/>
          <w:lang w:val="en-AU"/>
        </w:rPr>
      </w:pPr>
    </w:p>
    <w:p w:rsidR="00D07C81" w:rsidRPr="00DA0DE2" w:rsidRDefault="00D07C81" w:rsidP="00D07C81">
      <w:pPr>
        <w:bidi/>
        <w:spacing w:after="0" w:line="480" w:lineRule="auto"/>
        <w:rPr>
          <w:rFonts w:ascii="Times New Roman" w:hAnsi="Times New Roman" w:cs="Times New Roman"/>
          <w:sz w:val="24"/>
          <w:szCs w:val="24"/>
          <w:rtl/>
          <w:lang w:val="en-AU"/>
        </w:rPr>
      </w:pPr>
      <w:r w:rsidRPr="00DA0DE2">
        <w:rPr>
          <w:rFonts w:ascii="Times New Roman" w:hAnsi="Times New Roman" w:cs="Times New Roman"/>
          <w:sz w:val="24"/>
          <w:szCs w:val="24"/>
          <w:rtl/>
          <w:lang w:val="en-AU"/>
        </w:rPr>
        <w:t xml:space="preserve">توجد عدة نقاط قوة في العمل، فأسلوبه الكتابي سهل، و بذلك ينجح في شد انتباه القراء إلى ما وراء مجاله القانوني المباشر. على الرغم من أن المشهد اليوم قد تغير بشكل ملحوظ يقدم الكتاب منفذا جديدا على التاريخ القانوني الإندونيسي خصوصا </w:t>
      </w:r>
      <w:r w:rsidRPr="00DA0DE2">
        <w:rPr>
          <w:rFonts w:ascii="Times New Roman" w:hAnsi="Times New Roman" w:cs="Times New Roman"/>
          <w:sz w:val="24"/>
          <w:szCs w:val="24"/>
          <w:rtl/>
          <w:lang w:val="en-AU"/>
        </w:rPr>
        <w:lastRenderedPageBreak/>
        <w:t xml:space="preserve">مع تزايد نفوذ المحاكم الإسلامية منذ ثمانينات القرن العشرين. و مع ذلك، فما زال للعمل قيمته خصوصا فيما يتعلق بمقارنته الحالية للقانون المدني الأوروبي مع القانون العرفي الإندونيسي. </w:t>
      </w:r>
    </w:p>
    <w:p w:rsidR="00D07C81" w:rsidRPr="00DA0DE2" w:rsidRDefault="00D07C81" w:rsidP="00D07C81">
      <w:pPr>
        <w:bidi/>
        <w:spacing w:after="0" w:line="480" w:lineRule="auto"/>
        <w:rPr>
          <w:rFonts w:ascii="Times New Roman" w:hAnsi="Times New Roman" w:cs="Times New Roman"/>
          <w:sz w:val="24"/>
          <w:szCs w:val="24"/>
          <w:rtl/>
          <w:lang w:val="en-AU"/>
        </w:rPr>
      </w:pPr>
      <w:r w:rsidRPr="00DA0DE2">
        <w:rPr>
          <w:rFonts w:ascii="Times New Roman" w:hAnsi="Times New Roman" w:cs="Times New Roman"/>
          <w:sz w:val="24"/>
          <w:szCs w:val="24"/>
          <w:rtl/>
          <w:lang w:val="en-AU"/>
        </w:rPr>
        <w:t xml:space="preserve"> </w:t>
      </w:r>
    </w:p>
    <w:p w:rsidR="00D07C81" w:rsidRPr="00DA0DE2" w:rsidRDefault="00D07C81" w:rsidP="00D07C81">
      <w:pPr>
        <w:bidi/>
        <w:spacing w:after="0" w:line="480" w:lineRule="auto"/>
        <w:rPr>
          <w:rFonts w:ascii="Times New Roman" w:hAnsi="Times New Roman" w:cs="Times New Roman"/>
          <w:sz w:val="24"/>
          <w:szCs w:val="24"/>
          <w:rtl/>
          <w:lang w:val="en-AU"/>
        </w:rPr>
      </w:pPr>
      <w:r w:rsidRPr="00DA0DE2">
        <w:rPr>
          <w:rFonts w:ascii="Times New Roman" w:hAnsi="Times New Roman" w:cs="Times New Roman"/>
          <w:sz w:val="24"/>
          <w:szCs w:val="24"/>
          <w:rtl/>
          <w:lang w:val="en-AU"/>
        </w:rPr>
        <w:t>بيتر ج. ريدل</w:t>
      </w:r>
    </w:p>
    <w:p w:rsidR="00D07C81" w:rsidRPr="00DA0DE2" w:rsidRDefault="00D07C81" w:rsidP="00D07C81">
      <w:pPr>
        <w:bidi/>
        <w:spacing w:after="0" w:line="480" w:lineRule="auto"/>
        <w:rPr>
          <w:rFonts w:ascii="Times New Roman" w:hAnsi="Times New Roman" w:cs="Times New Roman"/>
          <w:sz w:val="24"/>
          <w:szCs w:val="24"/>
          <w:rtl/>
          <w:lang w:val="en-AU"/>
        </w:rPr>
      </w:pPr>
      <w:r w:rsidRPr="00DA0DE2">
        <w:rPr>
          <w:rFonts w:ascii="Times New Roman" w:hAnsi="Times New Roman" w:cs="Times New Roman"/>
          <w:sz w:val="24"/>
          <w:szCs w:val="24"/>
          <w:rtl/>
          <w:lang w:val="en-AU"/>
        </w:rPr>
        <w:t>هالة عدرة</w:t>
      </w:r>
    </w:p>
    <w:sectPr w:rsidR="00D07C81" w:rsidRPr="00DA0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69"/>
    <w:rsid w:val="000071C0"/>
    <w:rsid w:val="00083E80"/>
    <w:rsid w:val="006C6B50"/>
    <w:rsid w:val="00791238"/>
    <w:rsid w:val="007F7C69"/>
    <w:rsid w:val="00D07C81"/>
    <w:rsid w:val="00D12469"/>
    <w:rsid w:val="00DC7EA3"/>
    <w:rsid w:val="00F96A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A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C7EA3"/>
    <w:pPr>
      <w:spacing w:after="120" w:line="480" w:lineRule="auto"/>
    </w:pPr>
  </w:style>
  <w:style w:type="character" w:customStyle="1" w:styleId="BodyText2Char">
    <w:name w:val="Body Text 2 Char"/>
    <w:basedOn w:val="DefaultParagraphFont"/>
    <w:link w:val="BodyText2"/>
    <w:uiPriority w:val="99"/>
    <w:semiHidden/>
    <w:rsid w:val="00DC7EA3"/>
    <w:rPr>
      <w:rFonts w:ascii="Calibri" w:eastAsia="Calibri" w:hAnsi="Calibri" w:cs="Tms Rmn"/>
    </w:rPr>
  </w:style>
  <w:style w:type="paragraph" w:customStyle="1" w:styleId="internalpagefonts">
    <w:name w:val="internalpagefonts"/>
    <w:basedOn w:val="Normal"/>
    <w:rsid w:val="00DC7EA3"/>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A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DC7EA3"/>
    <w:pPr>
      <w:spacing w:after="120" w:line="480" w:lineRule="auto"/>
    </w:pPr>
  </w:style>
  <w:style w:type="character" w:customStyle="1" w:styleId="BodyText2Char">
    <w:name w:val="Body Text 2 Char"/>
    <w:basedOn w:val="DefaultParagraphFont"/>
    <w:link w:val="BodyText2"/>
    <w:uiPriority w:val="99"/>
    <w:semiHidden/>
    <w:rsid w:val="00DC7EA3"/>
    <w:rPr>
      <w:rFonts w:ascii="Calibri" w:eastAsia="Calibri" w:hAnsi="Calibri" w:cs="Tms Rmn"/>
    </w:rPr>
  </w:style>
  <w:style w:type="paragraph" w:customStyle="1" w:styleId="internalpagefonts">
    <w:name w:val="internalpagefonts"/>
    <w:basedOn w:val="Normal"/>
    <w:rsid w:val="00DC7EA3"/>
    <w:pPr>
      <w:spacing w:before="100" w:beforeAutospacing="1" w:after="100" w:afterAutospacing="1" w:line="240" w:lineRule="auto"/>
    </w:pPr>
    <w:rPr>
      <w:rFonts w:ascii="Arial Unicode MS" w:eastAsia="Arial Unicode MS" w:hAnsi="Arial Unicode MS" w:cs="Arial Unicode M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236</Words>
  <Characters>1350</Characters>
  <Application>Microsoft Office Word</Application>
  <DocSecurity>0</DocSecurity>
  <Lines>11</Lines>
  <Paragraphs>3</Paragraphs>
  <ScaleCrop>false</ScaleCrop>
  <Company>Microsoft</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2015-02-23T15:26:00Z</dcterms:created>
  <dcterms:modified xsi:type="dcterms:W3CDTF">2015-05-01T13:57:00Z</dcterms:modified>
</cp:coreProperties>
</file>