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BC" w:rsidRPr="00DA0DE2" w:rsidRDefault="00901ABC" w:rsidP="00A0460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سيستانى،</w:t>
      </w:r>
      <w:r w:rsidR="00A04601">
        <w:rPr>
          <w:rFonts w:ascii="Times New Roman" w:hAnsi="Times New Roman" w:cs="Times New Roman"/>
          <w:sz w:val="24"/>
          <w:szCs w:val="24"/>
          <w:lang w:val="sv-SE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على حسينى.</w:t>
      </w:r>
      <w:r w:rsidR="00A466B7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sv-SE"/>
        </w:rPr>
        <w:t>توضيح المسائل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. مشهد: نشر هاتف،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fa-IR"/>
        </w:rPr>
        <w:t>۱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٣٨٧/٢٠٠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fa-IR"/>
        </w:rPr>
        <w:t>۸-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٢٠٠٩، ۴۴۸ ص. </w:t>
      </w:r>
    </w:p>
    <w:p w:rsidR="00901ABC" w:rsidRPr="00DA0DE2" w:rsidRDefault="00901ABC" w:rsidP="00901AB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01ABC" w:rsidRPr="00DA0DE2" w:rsidRDefault="00901ABC" w:rsidP="002811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</w:rPr>
        <w:t xml:space="preserve">Sistani, ‘Ali 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Husayni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Tawzih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DA0DE2">
        <w:rPr>
          <w:rFonts w:ascii="Times New Roman" w:hAnsi="Times New Roman" w:cs="Times New Roman"/>
          <w:i/>
          <w:iCs/>
          <w:sz w:val="24"/>
          <w:szCs w:val="24"/>
        </w:rPr>
        <w:t>asaʼil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0DE2">
        <w:rPr>
          <w:rFonts w:ascii="Times New Roman" w:hAnsi="Times New Roman" w:cs="Times New Roman"/>
          <w:sz w:val="24"/>
          <w:szCs w:val="24"/>
        </w:rPr>
        <w:t xml:space="preserve"> Mashhad: 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Nashr-i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Hatif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>, 2008-2009, 448</w:t>
      </w:r>
      <w:r w:rsidR="0028114F">
        <w:rPr>
          <w:rFonts w:ascii="Times New Roman" w:hAnsi="Times New Roman" w:cs="Times New Roman"/>
          <w:sz w:val="24"/>
          <w:szCs w:val="24"/>
        </w:rPr>
        <w:t>pp</w:t>
      </w:r>
      <w:r w:rsidRPr="00DA0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ABC" w:rsidRPr="0028114F" w:rsidRDefault="00901ABC" w:rsidP="00901AB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01ABC" w:rsidRPr="0028114F" w:rsidRDefault="00901ABC" w:rsidP="00901ABC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</w:pPr>
      <w:r w:rsidRPr="0028114F"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  <w:t>ملخص</w:t>
      </w:r>
    </w:p>
    <w:p w:rsidR="00901ABC" w:rsidRPr="00DA0DE2" w:rsidRDefault="00901ABC" w:rsidP="00901ABC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</w:pPr>
    </w:p>
    <w:p w:rsidR="00901ABC" w:rsidRPr="00DA0DE2" w:rsidRDefault="00901ABC" w:rsidP="00901ABC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  <w:t>توضيح المسائل</w:t>
      </w:r>
    </w:p>
    <w:p w:rsidR="00901ABC" w:rsidRPr="00DA0DE2" w:rsidRDefault="00901ABC" w:rsidP="00901ABC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</w:pPr>
    </w:p>
    <w:p w:rsidR="00901ABC" w:rsidRPr="00DA0DE2" w:rsidRDefault="00901ABC" w:rsidP="00A0460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يمثل هذا الكتاب الرسالة العملية (بحث في الأحكام الدينية) لمرجع التقليد علي حسيني</w:t>
      </w:r>
      <w:r w:rsidR="00806FC1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</w:t>
      </w:r>
      <w:r w:rsidR="00A466B7">
        <w:rPr>
          <w:rFonts w:ascii="Times New Roman" w:hAnsi="Times New Roman" w:cs="Times New Roman"/>
          <w:sz w:val="24"/>
          <w:szCs w:val="24"/>
          <w:rtl/>
          <w:lang w:val="sv-SE" w:bidi="ar-SY"/>
        </w:rPr>
        <w:t>سيستاني</w:t>
      </w:r>
      <w:r w:rsidR="00A466B7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و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يعرض فيه الأحكام الدينية التي ينبغي أن يتقيد بها أتباعه</w:t>
      </w:r>
      <w:r w:rsidR="00A466B7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</w:rPr>
        <w:t>)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المقلدين</w:t>
      </w:r>
      <w:r w:rsidRPr="00DA0DE2">
        <w:rPr>
          <w:rFonts w:ascii="Times New Roman" w:hAnsi="Times New Roman" w:cs="Times New Roman"/>
          <w:sz w:val="24"/>
          <w:szCs w:val="24"/>
        </w:rPr>
        <w:t>(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تبعا للمدرسة الفقهية الجعفرية الشيعيَّة. يستند</w:t>
      </w:r>
      <w:r w:rsidR="00A04601">
        <w:rPr>
          <w:rFonts w:ascii="Times New Roman" w:hAnsi="Times New Roman" w:cs="Times New Roman"/>
          <w:sz w:val="24"/>
          <w:szCs w:val="24"/>
          <w:lang w:val="sv-SE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هذا الملخص إلى نسخة فارسية من الكتاب نشرتها دار نشر هاتف في مشهد عام ١٣٨٧ شمسي/ ٢٠٠٨-٢٠٠٩</w:t>
      </w:r>
      <w:r w:rsidR="008E6373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ميلادي تحت عنوان توضيح المسائل. </w:t>
      </w:r>
    </w:p>
    <w:p w:rsidR="00901ABC" w:rsidRPr="00DA0DE2" w:rsidRDefault="00901ABC" w:rsidP="00901AB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901ABC" w:rsidRPr="00DA0DE2" w:rsidRDefault="00901ABC" w:rsidP="00855F4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تتكون الرسالة العملية التي يشار إليها أحيانا بـاسم</w:t>
      </w:r>
      <w:r w:rsidR="00806FC1">
        <w:rPr>
          <w:rFonts w:ascii="Times New Roman" w:hAnsi="Times New Roman" w:cs="Times New Roman"/>
          <w:sz w:val="24"/>
          <w:szCs w:val="24"/>
          <w:lang w:val="sv-SE" w:bidi="ar-SY"/>
        </w:rPr>
        <w:t xml:space="preserve"> </w:t>
      </w:r>
      <w:r w:rsidR="00806FC1">
        <w:rPr>
          <w:rFonts w:ascii="Times New Roman" w:hAnsi="Times New Roman" w:cs="Times New Roman"/>
          <w:sz w:val="24"/>
          <w:szCs w:val="24"/>
          <w:rtl/>
          <w:lang w:val="sv-SE" w:bidi="ar-SY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دستور لحياة المؤمنين</w:t>
      </w:r>
      <w:r w:rsidR="00806FC1">
        <w:rPr>
          <w:rFonts w:ascii="Times New Roman" w:hAnsi="Times New Roman" w:cs="Times New Roman"/>
          <w:sz w:val="24"/>
          <w:szCs w:val="24"/>
          <w:rtl/>
          <w:lang w:val="sv-SE" w:bidi="ar-SY"/>
        </w:rPr>
        <w:t>»</w:t>
      </w:r>
      <w:r w:rsidR="00806FC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من مجموعة من الفتاوي التي</w:t>
      </w:r>
      <w:r w:rsidRPr="00DA0DE2">
        <w:rPr>
          <w:rFonts w:ascii="Times New Roman" w:hAnsi="Times New Roman" w:cs="Times New Roman"/>
          <w:sz w:val="24"/>
          <w:szCs w:val="24"/>
        </w:rPr>
        <w:t xml:space="preserve"> </w:t>
      </w:r>
      <w:r w:rsidR="00496DDA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قدمها </w:t>
      </w:r>
      <w:r w:rsidR="00A466B7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رجل دين </w:t>
      </w:r>
      <w:r w:rsidR="00496DDA">
        <w:rPr>
          <w:rFonts w:ascii="Times New Roman" w:hAnsi="Times New Roman" w:cs="Times New Roman"/>
          <w:sz w:val="24"/>
          <w:szCs w:val="24"/>
          <w:rtl/>
          <w:lang w:val="sv-SE" w:bidi="ar-SY"/>
        </w:rPr>
        <w:t>مجتهد كرد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على أسئلة طرحها عليه مؤمنون عادي</w:t>
      </w:r>
      <w:r w:rsidR="00496DDA">
        <w:rPr>
          <w:rFonts w:ascii="Times New Roman" w:hAnsi="Times New Roman" w:cs="Times New Roman"/>
          <w:sz w:val="24"/>
          <w:szCs w:val="24"/>
          <w:rtl/>
          <w:lang w:val="sv-SE" w:bidi="ar-SY"/>
        </w:rPr>
        <w:t>ون.</w:t>
      </w:r>
      <w:r w:rsidR="00496DDA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</w:t>
      </w:r>
      <w:r w:rsidR="00A466B7">
        <w:rPr>
          <w:rFonts w:ascii="Times New Roman" w:hAnsi="Times New Roman" w:cs="Times New Roman"/>
          <w:sz w:val="24"/>
          <w:szCs w:val="24"/>
          <w:rtl/>
          <w:lang w:val="sv-SE" w:bidi="ar-SY"/>
        </w:rPr>
        <w:t>و يشكل هذا العمل مرجعا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لسلوك المؤمنين يزودهم</w:t>
      </w:r>
      <w:r w:rsidR="00A466B7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بالتوجيهات المتعلقة بالأمور ال</w:t>
      </w:r>
      <w:r w:rsidR="00A466B7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ا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جتماعية و الدينية و المادية. و قد اتجه أصحاب المرجعيات </w:t>
      </w:r>
      <w:r w:rsidR="00A466B7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الدينية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إلى نشر فتاوي أسلافهم المباشرين </w:t>
      </w:r>
      <w:r w:rsidR="00A466B7"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ب</w:t>
      </w:r>
      <w:r w:rsidR="00A466B7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ُ</w:t>
      </w:r>
      <w:r w:rsidR="00A466B7"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ع</w:t>
      </w:r>
      <w:r w:rsidR="00A466B7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َي</w:t>
      </w:r>
      <w:r w:rsidR="00A466B7"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د وفا</w:t>
      </w:r>
      <w:r w:rsidR="00A466B7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تهم بما يجيب </w:t>
      </w:r>
      <w:r w:rsidR="00855F48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على </w:t>
      </w:r>
      <w:r w:rsidR="00A466B7"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تساؤلات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أتباعهم</w:t>
      </w:r>
      <w:r w:rsidR="00A466B7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ضمن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رسائل سميت توضيح المسائل</w:t>
      </w:r>
      <w:r w:rsidR="00A466B7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، ذلك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أنه و من حيث المبدأ </w:t>
      </w:r>
      <w:r w:rsidR="0083422A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يجب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أن يكون التقليد لمرجع حي و </w:t>
      </w:r>
      <w:r w:rsidR="0083422A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في هذه الحالة </w:t>
      </w:r>
      <w:r w:rsidR="00855F48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فإن المرجع المتوفي هو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بوروجردي</w:t>
      </w:r>
      <w:r w:rsidR="0083422A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(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توفي عام ١٩٦٢).</w:t>
      </w:r>
    </w:p>
    <w:p w:rsidR="00901ABC" w:rsidRPr="00DA0DE2" w:rsidRDefault="00901ABC" w:rsidP="00901AB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901ABC" w:rsidRPr="00DA0DE2" w:rsidRDefault="00901ABC" w:rsidP="00855F4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و بالنسبة </w:t>
      </w:r>
      <w:r w:rsidR="00855F48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ل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لكتاب فهو</w:t>
      </w:r>
      <w:r w:rsidRPr="00DA0DE2">
        <w:rPr>
          <w:rFonts w:ascii="Times New Roman" w:hAnsi="Times New Roman" w:cs="Times New Roman"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عبارة عن خلاصة لحوالي ثلاثة آلاف حكم ديني</w:t>
      </w:r>
      <w:r w:rsidR="00855F48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 </w:t>
      </w:r>
      <w:r w:rsidR="00855F48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تتعلق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مواضيع</w:t>
      </w:r>
      <w:r w:rsidR="00855F48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ها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الرئيسية </w:t>
      </w:r>
      <w:r w:rsidR="00855F48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الم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طر</w:t>
      </w:r>
      <w:r w:rsidR="00855F48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و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ح</w:t>
      </w:r>
      <w:r w:rsidR="00855F48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ة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بما يلي: التقليد، الطهارة، النجاسة، المُطهِّر</w:t>
      </w:r>
      <w:r w:rsidR="00EC14EF">
        <w:rPr>
          <w:rFonts w:ascii="Times New Roman" w:hAnsi="Times New Roman" w:cs="Times New Roman"/>
          <w:sz w:val="24"/>
          <w:szCs w:val="24"/>
          <w:rtl/>
          <w:lang w:val="sv-SE" w:bidi="ar-SY"/>
        </w:rPr>
        <w:t>ات، الوضوء، الغُسل، الجنابة، ال</w:t>
      </w:r>
      <w:r w:rsidR="00EC14EF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ا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ستحاضة، المحتضَر، بعد الموت، التيمم، الصلاة، الصوم، مصارف الخمس و الزكاة، الحج، الأمر بالمعروف و النهي عن المنكر، البيع و الشراء، عقد الزواج، الطلاق، اغتصاب (السلطة)، ذبح و صيد الحيوانات، النذر و العهد، الوقف، و الوصية. علاوة على ذلك يحتوي نص الكتاب على قسم أخير للملحقات تتناول الأحكام التي لا تتبع لأي من القضايا الرئيسية </w:t>
      </w:r>
      <w:r w:rsidR="00855F48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المذكورة سابقا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و تحديدا موضوع البنوك.</w:t>
      </w:r>
    </w:p>
    <w:p w:rsidR="00901ABC" w:rsidRPr="00DA0DE2" w:rsidRDefault="00901ABC" w:rsidP="00901AB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901ABC" w:rsidRPr="00DA0DE2" w:rsidRDefault="00855F48" w:rsidP="00A0460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lastRenderedPageBreak/>
        <w:t>يغطي</w:t>
      </w:r>
      <w:r w:rsidR="00901ABC"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الكتاب العديد من النقاط المهمة و التي تكمن أهمية معظمها على الأرجح في اختلاف فتاوي سيستاني عن أستاذه  و سلفه أبو القاسم خوئي (المتوفي عام ١٩٩٢) مما يدل على استمرارية بذل الجهد في مجال ال</w:t>
      </w:r>
      <w:r w:rsidR="00A04601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ا</w:t>
      </w:r>
      <w:r w:rsidR="00901ABC"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جتهاد. و على الرغم من ذلك فإن هذا الجهد موجه نحو قضايا ثانوية و لا ينجم عنه  تغييرات أساسية أو مهمة في الإطار ال</w:t>
      </w:r>
      <w:r w:rsidR="00A04601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>إ</w:t>
      </w:r>
      <w:r w:rsidR="00901ABC"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يديولوجي العام و النموذج السلوكي الذي تم ترسيخه في  الإرث القانوني الأصولي. </w:t>
      </w:r>
    </w:p>
    <w:p w:rsidR="00901ABC" w:rsidRPr="00DA0DE2" w:rsidRDefault="00901ABC" w:rsidP="00901AB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01ABC" w:rsidRPr="00DA0DE2" w:rsidRDefault="00901ABC" w:rsidP="00901AB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بشكل عام تتصف لغة الكتاب بغناها بالمصطلحات و التعابير الدينية و القانونية </w:t>
      </w:r>
      <w:r w:rsidR="00A04601">
        <w:rPr>
          <w:rFonts w:ascii="Times New Roman" w:hAnsi="Times New Roman" w:cs="Times New Roman" w:hint="cs"/>
          <w:sz w:val="24"/>
          <w:szCs w:val="24"/>
          <w:rtl/>
          <w:lang w:val="sv-SE" w:bidi="ar-SY"/>
        </w:rPr>
        <w:t xml:space="preserve">و هو </w:t>
      </w:r>
      <w:bookmarkStart w:id="0" w:name="_GoBack"/>
      <w:bookmarkEnd w:id="0"/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ما يتعارض جزئيا مع وظيفتها و بالتالي ينتقل التفسير الحقيقي للفتاوي – التي لا تتعامل فقط مع التوجيهات المتعلقة بالطقوس الدينية-  لمستوى أدنى غير محدد قائم على التوسط بين الأحكام الدينية القانونية و تطبيقاتها.</w:t>
      </w:r>
    </w:p>
    <w:p w:rsidR="00901ABC" w:rsidRPr="00DA0DE2" w:rsidRDefault="00901ABC" w:rsidP="00901AB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901ABC" w:rsidRPr="00DA0DE2" w:rsidRDefault="00901ABC" w:rsidP="00901AB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و يُعد الكتاب من المراجع المهمة التي تتناول أحكام المدرسة الفقهية الجعفرية و التي طرحها أك</w:t>
      </w:r>
      <w:r w:rsidR="0057322C">
        <w:rPr>
          <w:rFonts w:ascii="Times New Roman" w:hAnsi="Times New Roman" w:cs="Times New Roman"/>
          <w:sz w:val="24"/>
          <w:szCs w:val="24"/>
          <w:rtl/>
          <w:lang w:val="sv-SE" w:bidi="ar-SY"/>
        </w:rPr>
        <w:t>ثر أصحاب المرجعية  الحية اتباعا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. </w:t>
      </w:r>
    </w:p>
    <w:p w:rsidR="00901ABC" w:rsidRPr="00DA0DE2" w:rsidRDefault="00901ABC" w:rsidP="00901AB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901ABC" w:rsidRPr="00DA0DE2" w:rsidRDefault="00901ABC" w:rsidP="00901AB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رافائل ماؤریللو</w:t>
      </w:r>
    </w:p>
    <w:p w:rsidR="009A0E2D" w:rsidRPr="00901ABC" w:rsidRDefault="00901ABC" w:rsidP="00901ABC">
      <w:pPr>
        <w:bidi/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ترجمة مها يازجي</w:t>
      </w:r>
    </w:p>
    <w:sectPr w:rsidR="009A0E2D" w:rsidRPr="00901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B6"/>
    <w:rsid w:val="000071C0"/>
    <w:rsid w:val="00083E80"/>
    <w:rsid w:val="0028114F"/>
    <w:rsid w:val="002878B6"/>
    <w:rsid w:val="0029552A"/>
    <w:rsid w:val="00417553"/>
    <w:rsid w:val="00496DDA"/>
    <w:rsid w:val="0057322C"/>
    <w:rsid w:val="006C6B50"/>
    <w:rsid w:val="00791238"/>
    <w:rsid w:val="00806FC1"/>
    <w:rsid w:val="0083422A"/>
    <w:rsid w:val="00855F48"/>
    <w:rsid w:val="008E6373"/>
    <w:rsid w:val="00901ABC"/>
    <w:rsid w:val="009B05F0"/>
    <w:rsid w:val="00A04601"/>
    <w:rsid w:val="00A466B7"/>
    <w:rsid w:val="00EC1210"/>
    <w:rsid w:val="00EC14EF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10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10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13</cp:revision>
  <dcterms:created xsi:type="dcterms:W3CDTF">2015-02-23T16:02:00Z</dcterms:created>
  <dcterms:modified xsi:type="dcterms:W3CDTF">2015-06-09T09:45:00Z</dcterms:modified>
</cp:coreProperties>
</file>