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C4" w:rsidRPr="00DA0DE2" w:rsidRDefault="00BE5FC4" w:rsidP="00BE5FC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العالم، يوسف حامد.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</w:rPr>
        <w:t>المقاصد العامة للشريعة الإسلامية</w:t>
      </w:r>
      <w:r w:rsidRPr="00DA0DE2">
        <w:rPr>
          <w:rFonts w:ascii="Times New Roman" w:hAnsi="Times New Roman" w:cs="Times New Roman"/>
          <w:sz w:val="24"/>
          <w:szCs w:val="24"/>
          <w:rtl/>
        </w:rPr>
        <w:t>. الرياض: المعهد العالمي للفكر الإسلامي، ۱٩٩٤، ٦١٤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ص. </w:t>
      </w:r>
    </w:p>
    <w:p w:rsidR="00BE5FC4" w:rsidRPr="00DA0DE2" w:rsidRDefault="00BE5FC4" w:rsidP="00BE5FC4">
      <w:pPr>
        <w:bidi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BE5FC4" w:rsidRPr="00DA0DE2" w:rsidRDefault="00BE5FC4" w:rsidP="000759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</w:rPr>
        <w:t>Al-‘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, Yusuf Hamid. </w:t>
      </w:r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Maqasid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al-‘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Amma</w:t>
      </w:r>
      <w:r w:rsidR="007D19EC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lil-Shari‘a</w:t>
      </w:r>
      <w:r w:rsidR="007D19EC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Islamiy</w:t>
      </w:r>
      <w:r w:rsidR="007D19E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D19EC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</w:rPr>
        <w:t xml:space="preserve"> Riyadh: </w:t>
      </w:r>
      <w:r w:rsidR="0007597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DA0DE2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Ma‘had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 al-‘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lil-Fikr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>, 1994, 614</w:t>
      </w:r>
      <w:r w:rsidR="007D19EC">
        <w:rPr>
          <w:rFonts w:ascii="Times New Roman" w:hAnsi="Times New Roman" w:cs="Times New Roman"/>
          <w:sz w:val="24"/>
          <w:szCs w:val="24"/>
        </w:rPr>
        <w:t>pp</w:t>
      </w:r>
      <w:r w:rsidRPr="00DA0DE2">
        <w:rPr>
          <w:rFonts w:ascii="Times New Roman" w:hAnsi="Times New Roman" w:cs="Times New Roman"/>
          <w:sz w:val="24"/>
          <w:szCs w:val="24"/>
        </w:rPr>
        <w:t>.</w:t>
      </w:r>
    </w:p>
    <w:p w:rsidR="00BE5FC4" w:rsidRPr="00DA0DE2" w:rsidRDefault="00BE5FC4" w:rsidP="00BE5FC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E5FC4" w:rsidRPr="00536C68" w:rsidRDefault="00BE5FC4" w:rsidP="00BE5FC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36C68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p w:rsidR="00BE5FC4" w:rsidRPr="00DA0DE2" w:rsidRDefault="00BE5FC4" w:rsidP="00BE5FC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BE5FC4" w:rsidRPr="00DA0DE2" w:rsidRDefault="00BE5FC4" w:rsidP="00BE5FC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المقاصد العامة للشريعة الإسلامية</w:t>
      </w:r>
    </w:p>
    <w:p w:rsidR="00BE5FC4" w:rsidRPr="00DA0DE2" w:rsidRDefault="00BE5FC4" w:rsidP="00BE5FC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rtl/>
        </w:rPr>
      </w:pPr>
    </w:p>
    <w:p w:rsidR="00BE5FC4" w:rsidRPr="00DA0DE2" w:rsidRDefault="00BE5FC4" w:rsidP="007D19E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إن كتاب </w:t>
      </w:r>
      <w:r w:rsidR="007D19EC">
        <w:rPr>
          <w:rFonts w:ascii="Times New Roman" w:hAnsi="Times New Roman" w:cs="Times New Roman"/>
          <w:sz w:val="24"/>
          <w:szCs w:val="24"/>
          <w:rtl/>
          <w:lang w:bidi="ar-EG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المقاصد العامة للشريعة الإسلامية</w:t>
      </w:r>
      <w:r w:rsidR="007D19EC">
        <w:rPr>
          <w:rFonts w:ascii="Times New Roman" w:hAnsi="Times New Roman" w:cs="Times New Roman"/>
          <w:sz w:val="24"/>
          <w:szCs w:val="24"/>
          <w:rtl/>
          <w:lang w:bidi="ar-EG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للدكتور يوسف حامد العالم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هو في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ال</w:t>
      </w:r>
      <w:r w:rsidRPr="00DA0DE2">
        <w:rPr>
          <w:rFonts w:ascii="Times New Roman" w:hAnsi="Times New Roman" w:cs="Times New Roman"/>
          <w:sz w:val="24"/>
          <w:szCs w:val="24"/>
          <w:rtl/>
        </w:rPr>
        <w:t>أصل الأطروحة التي تقدم بها إلى كلية الشريعة الإسلامية بجامعة الأزهر لنيل درجة الدكتوراة عام ١۹٧١. و يقوم  المعهد العالمي للفكر الإسلامي بتوزيعه في العديد من بلدان الشرق الأوسط،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انجلترا،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أمريكا الشمالية،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فرنسا،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هولندا،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بلجيكا،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الهند.  </w:t>
      </w:r>
    </w:p>
    <w:p w:rsidR="00BE5FC4" w:rsidRPr="00DA0DE2" w:rsidRDefault="00BE5FC4" w:rsidP="00BE5FC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BE5FC4" w:rsidRPr="00DA0DE2" w:rsidRDefault="00BE5FC4" w:rsidP="00BE5FC4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يسد هذا العمل ثغرة في مجال المقاصد العامة للشريعة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يساعد على بيان الصلة الوثيقة بين الأحكام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مقاصدها،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بيان عظمة الشريعة الإسلامية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امتيازها على بقية الشرائع الوضعية،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التصدي للشبهات التي تثار حولها والادعاءات بأنها لا تصلح للعصر الحديث أو تصلح لأمور الآخرة و حسب، وغيرها من الادعاءات. </w:t>
      </w:r>
    </w:p>
    <w:p w:rsidR="00BE5FC4" w:rsidRPr="00DA0DE2" w:rsidRDefault="00BE5FC4" w:rsidP="00BE5FC4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BE5FC4" w:rsidRPr="00DA0DE2" w:rsidRDefault="00BE5FC4" w:rsidP="007D19E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>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يوضح المؤلف أنه خالف نهج الأصوليين المعهود من </w:t>
      </w:r>
      <w:r w:rsidR="007D19EC">
        <w:rPr>
          <w:rFonts w:ascii="Times New Roman" w:hAnsi="Times New Roman" w:cs="Times New Roman"/>
          <w:sz w:val="24"/>
          <w:szCs w:val="24"/>
          <w:rtl/>
          <w:lang w:bidi="ar-EG"/>
        </w:rPr>
        <w:t>«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تقعيد القواعد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بيان المبادىء</w:t>
      </w:r>
      <w:r w:rsidR="007D19EC">
        <w:rPr>
          <w:rFonts w:ascii="Times New Roman" w:hAnsi="Times New Roman" w:cs="Times New Roman"/>
          <w:sz w:val="24"/>
          <w:szCs w:val="24"/>
          <w:rtl/>
          <w:lang w:bidi="ar-EG"/>
        </w:rPr>
        <w:t>»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،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بدأ بتمهيد عام يعطي فيه صورة عن مصادر الشريعة، و مواردها،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خصائصها إجمالا.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و </w:t>
      </w:r>
      <w:r w:rsidRPr="00DA0DE2">
        <w:rPr>
          <w:rFonts w:ascii="Times New Roman" w:hAnsi="Times New Roman" w:cs="Times New Roman"/>
          <w:sz w:val="24"/>
          <w:szCs w:val="24"/>
          <w:rtl/>
        </w:rPr>
        <w:t>تدور مقدمة الكتاب حول ثلاثة مباحث تختص بتعريف الشريعة في اللغة و الاصطلاح، و تعريف الحكم الشرعي و أقسامه، علاوة على بيان الخصائص العامة للشريعة و بيان مصادرها و أدلة أحكامها.</w:t>
      </w:r>
    </w:p>
    <w:p w:rsidR="00BE5FC4" w:rsidRPr="00DA0DE2" w:rsidRDefault="00BE5FC4" w:rsidP="00BE5FC4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BE5FC4" w:rsidRPr="00DA0DE2" w:rsidRDefault="00BE5FC4" w:rsidP="00BE5FC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و يبين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الفصل الأول من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الباب الأول تعريف الهدف لغة و شرعا و أن العمل المناقض لقصد الشارع باطل، و أن  المجتهد بحاجة إلى معرفة مقاصد الشارع. و يركز الفصل الثاني على دراسة موضوع المصالح بشكل مفصل، ويقدم تعريف المصلحة، و يبين خصائص المصلحة الشرعية، و تقسيمات المصلحة، و ما يترتب على تلك التقسيمات. </w:t>
      </w:r>
    </w:p>
    <w:p w:rsidR="00BE5FC4" w:rsidRPr="00DA0DE2" w:rsidRDefault="00BE5FC4" w:rsidP="00BE5FC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5FC4" w:rsidRPr="00DA0DE2" w:rsidRDefault="00BE5FC4" w:rsidP="00C8049F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و يخصص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الباب الثاني للتشريعات الخاصة بـ </w:t>
      </w:r>
      <w:r w:rsidR="00C8049F">
        <w:rPr>
          <w:rFonts w:ascii="Times New Roman" w:hAnsi="Times New Roman" w:cs="Times New Roman"/>
          <w:sz w:val="24"/>
          <w:szCs w:val="24"/>
          <w:rtl/>
          <w:lang w:bidi="ar-EG"/>
        </w:rPr>
        <w:t>«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الكليات الخمس</w:t>
      </w:r>
      <w:r w:rsidR="00C8049F">
        <w:rPr>
          <w:rFonts w:ascii="Times New Roman" w:hAnsi="Times New Roman" w:cs="Times New Roman"/>
          <w:sz w:val="24"/>
          <w:szCs w:val="24"/>
          <w:rtl/>
          <w:lang w:bidi="ar-EG"/>
        </w:rPr>
        <w:t>»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: الدين،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النفس،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العقل،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النسب،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المال. كما ذكر الدكتور العالم أن مصادره لم تقتصر على كتب الأصول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المقاصد بل شملت كتبا في الأحاديث،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الفقه،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التفسير،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السياسة المالية،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علم التوحيد،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الفلسفة، و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الاجتماع.</w:t>
      </w:r>
    </w:p>
    <w:p w:rsidR="00BE5FC4" w:rsidRPr="00DA0DE2" w:rsidRDefault="00BE5FC4" w:rsidP="00BE5FC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BE5FC4" w:rsidRPr="00DA0DE2" w:rsidRDefault="00BE5FC4" w:rsidP="00BE5FC4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معظم الصفحات مذيلة بهوامش، و أسلوب الكتاب سلس.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و الكتاب مزود بفهرسين للآيات و الأحاديث التي وردت في المتن بالإضافة إلى فهرس موضوعي. هناك أيضا ثبت للمراجع، و لكن الكثير منها يفتقر إلى بعض المعلومات الهامة. كما أن هناك جدول للمحتويات في أول الكتاب، و لكن يبدو أن أرقام بعض الصفحات قد سقطت سهوا. </w:t>
      </w:r>
    </w:p>
    <w:p w:rsidR="00BE5FC4" w:rsidRPr="00DA0DE2" w:rsidRDefault="00BE5FC4" w:rsidP="00BE5FC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9A0E2D" w:rsidRPr="00BE5FC4" w:rsidRDefault="00BE5FC4" w:rsidP="00BE5FC4">
      <w:pPr>
        <w:bidi/>
      </w:pPr>
      <w:r w:rsidRPr="00DA0DE2">
        <w:rPr>
          <w:rFonts w:ascii="Times New Roman" w:hAnsi="Times New Roman" w:cs="Times New Roman"/>
          <w:sz w:val="24"/>
          <w:szCs w:val="24"/>
          <w:rtl/>
        </w:rPr>
        <w:t>داليا صبري</w:t>
      </w:r>
    </w:p>
    <w:sectPr w:rsidR="009A0E2D" w:rsidRPr="00BE5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E9"/>
    <w:rsid w:val="000071C0"/>
    <w:rsid w:val="00075976"/>
    <w:rsid w:val="00083E80"/>
    <w:rsid w:val="00536C68"/>
    <w:rsid w:val="006C6B50"/>
    <w:rsid w:val="00791238"/>
    <w:rsid w:val="007D19EC"/>
    <w:rsid w:val="00A031E9"/>
    <w:rsid w:val="00AA49F6"/>
    <w:rsid w:val="00BE5FC4"/>
    <w:rsid w:val="00C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F6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F6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2015-02-23T14:43:00Z</dcterms:created>
  <dcterms:modified xsi:type="dcterms:W3CDTF">2015-06-10T14:37:00Z</dcterms:modified>
</cp:coreProperties>
</file>