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F" w:rsidRPr="00AE2C6F" w:rsidRDefault="00AE2C6F" w:rsidP="00AE2C6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2C6F">
        <w:rPr>
          <w:rFonts w:ascii="Times New Roman" w:hAnsi="Times New Roman" w:cs="Times New Roman"/>
          <w:sz w:val="24"/>
          <w:szCs w:val="24"/>
          <w:rtl/>
          <w:lang w:bidi="ar-SY"/>
        </w:rPr>
        <w:t>ال</w:t>
      </w:r>
      <w:r w:rsidRPr="00AE2C6F">
        <w:rPr>
          <w:rFonts w:ascii="Times New Roman" w:hAnsi="Times New Roman" w:cs="Times New Roman"/>
          <w:sz w:val="24"/>
          <w:szCs w:val="24"/>
          <w:rtl/>
        </w:rPr>
        <w:t xml:space="preserve">طويل، توفيق. </w:t>
      </w:r>
      <w:r w:rsidRPr="00AE2C6F">
        <w:rPr>
          <w:rFonts w:ascii="Times New Roman" w:hAnsi="Times New Roman" w:cs="Times New Roman"/>
          <w:i/>
          <w:iCs/>
          <w:sz w:val="24"/>
          <w:szCs w:val="24"/>
          <w:rtl/>
        </w:rPr>
        <w:t>مذهب المنفعة العامة في فلسفة الأخلاق</w:t>
      </w:r>
      <w:r w:rsidRPr="00AE2C6F">
        <w:rPr>
          <w:rFonts w:ascii="Times New Roman" w:hAnsi="Times New Roman" w:cs="Times New Roman"/>
          <w:sz w:val="24"/>
          <w:szCs w:val="24"/>
          <w:rtl/>
        </w:rPr>
        <w:t>. القاهرة: مكتبة النهضة المصرية، ١٩٥</w:t>
      </w:r>
      <w:r w:rsidRPr="00AE2C6F">
        <w:rPr>
          <w:rFonts w:ascii="Times New Roman" w:hAnsi="Times New Roman" w:cs="Times New Roman"/>
          <w:sz w:val="24"/>
          <w:szCs w:val="24"/>
          <w:rtl/>
          <w:lang w:bidi="fa-IR"/>
        </w:rPr>
        <w:t>۳</w:t>
      </w:r>
      <w:r w:rsidRPr="00AE2C6F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AE2C6F">
        <w:rPr>
          <w:rFonts w:ascii="Times New Roman" w:hAnsi="Times New Roman" w:cs="Times New Roman"/>
          <w:sz w:val="24"/>
          <w:szCs w:val="24"/>
          <w:rtl/>
          <w:lang w:bidi="fa-IR"/>
        </w:rPr>
        <w:t>۳۲۸</w:t>
      </w:r>
      <w:r w:rsidRPr="00AE2C6F">
        <w:rPr>
          <w:rFonts w:ascii="Times New Roman" w:hAnsi="Times New Roman" w:cs="Times New Roman"/>
          <w:sz w:val="24"/>
          <w:szCs w:val="24"/>
          <w:rtl/>
        </w:rPr>
        <w:t xml:space="preserve"> ص. </w:t>
      </w:r>
    </w:p>
    <w:p w:rsidR="00AE2C6F" w:rsidRPr="00AE2C6F" w:rsidRDefault="00AE2C6F" w:rsidP="00AE2C6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76C15" w:rsidRPr="003B401C" w:rsidRDefault="00AE2C6F" w:rsidP="00AE2C6F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E2C6F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AE2C6F">
        <w:rPr>
          <w:rFonts w:ascii="Times New Roman" w:hAnsi="Times New Roman" w:cs="Times New Roman"/>
          <w:sz w:val="24"/>
          <w:szCs w:val="24"/>
          <w:lang w:val="en-US"/>
        </w:rPr>
        <w:t>Tawil</w:t>
      </w:r>
      <w:proofErr w:type="spellEnd"/>
      <w:r w:rsidRPr="00AE2C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2C6F">
        <w:rPr>
          <w:rFonts w:ascii="Times New Roman" w:hAnsi="Times New Roman" w:cs="Times New Roman"/>
          <w:sz w:val="24"/>
          <w:szCs w:val="24"/>
          <w:lang w:val="en-US"/>
        </w:rPr>
        <w:t>Tawfiq</w:t>
      </w:r>
      <w:proofErr w:type="spellEnd"/>
      <w:r w:rsidRPr="00AE2C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>Madhhab al-</w:t>
      </w:r>
      <w:proofErr w:type="spellStart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Manfaʻah</w:t>
      </w:r>
      <w:proofErr w:type="spellEnd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>ʻAmmah</w:t>
      </w:r>
      <w:proofErr w:type="spellEnd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 </w:t>
      </w:r>
      <w:proofErr w:type="spellStart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>Falsafat</w:t>
      </w:r>
      <w:proofErr w:type="spellEnd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AE2C6F">
        <w:rPr>
          <w:rFonts w:ascii="Times New Roman" w:hAnsi="Times New Roman" w:cs="Times New Roman"/>
          <w:i/>
          <w:iCs/>
          <w:sz w:val="24"/>
          <w:szCs w:val="24"/>
          <w:lang w:val="en-US"/>
        </w:rPr>
        <w:t>Akhlaq</w:t>
      </w:r>
      <w:proofErr w:type="spellEnd"/>
      <w:r w:rsidRPr="00AE2C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2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C15" w:rsidRPr="00CB189F">
        <w:rPr>
          <w:rFonts w:ascii="Times New Roman" w:hAnsi="Times New Roman" w:cs="Times New Roman"/>
          <w:iCs/>
          <w:sz w:val="24"/>
          <w:szCs w:val="24"/>
        </w:rPr>
        <w:t>Kahire</w:t>
      </w:r>
      <w:proofErr w:type="spellEnd"/>
      <w:r w:rsidR="00D76C15" w:rsidRPr="003B401C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D76C15" w:rsidRPr="003B401C">
        <w:rPr>
          <w:rFonts w:ascii="Times New Roman" w:hAnsi="Times New Roman" w:cs="Times New Roman"/>
          <w:iCs/>
          <w:sz w:val="24"/>
          <w:szCs w:val="24"/>
        </w:rPr>
        <w:t>Maktabat</w:t>
      </w:r>
      <w:proofErr w:type="spellEnd"/>
      <w:r w:rsidR="00D76C15" w:rsidRPr="003B401C">
        <w:rPr>
          <w:rFonts w:ascii="Times New Roman" w:hAnsi="Times New Roman" w:cs="Times New Roman"/>
          <w:iCs/>
          <w:sz w:val="24"/>
          <w:szCs w:val="24"/>
        </w:rPr>
        <w:t xml:space="preserve"> al-</w:t>
      </w:r>
      <w:proofErr w:type="spellStart"/>
      <w:r w:rsidR="00D76C15" w:rsidRPr="003B401C">
        <w:rPr>
          <w:rFonts w:ascii="Times New Roman" w:hAnsi="Times New Roman" w:cs="Times New Roman"/>
          <w:iCs/>
          <w:sz w:val="24"/>
          <w:szCs w:val="24"/>
        </w:rPr>
        <w:t>Nahda</w:t>
      </w:r>
      <w:r>
        <w:rPr>
          <w:rFonts w:ascii="Times New Roman" w:hAnsi="Times New Roman" w:cs="Times New Roman"/>
          <w:iCs/>
          <w:sz w:val="24"/>
          <w:szCs w:val="24"/>
        </w:rPr>
        <w:t>h</w:t>
      </w:r>
      <w:proofErr w:type="spellEnd"/>
      <w:r w:rsidR="00D76C15" w:rsidRPr="003B401C">
        <w:rPr>
          <w:rFonts w:ascii="Times New Roman" w:hAnsi="Times New Roman" w:cs="Times New Roman"/>
          <w:iCs/>
          <w:sz w:val="24"/>
          <w:szCs w:val="24"/>
        </w:rPr>
        <w:t xml:space="preserve"> al-</w:t>
      </w:r>
      <w:proofErr w:type="spellStart"/>
      <w:r w:rsidR="00D76C15" w:rsidRPr="003B401C">
        <w:rPr>
          <w:rFonts w:ascii="Times New Roman" w:hAnsi="Times New Roman" w:cs="Times New Roman"/>
          <w:iCs/>
          <w:sz w:val="24"/>
          <w:szCs w:val="24"/>
        </w:rPr>
        <w:t>Misriy</w:t>
      </w:r>
      <w:r>
        <w:rPr>
          <w:rFonts w:ascii="Times New Roman" w:hAnsi="Times New Roman" w:cs="Times New Roman"/>
          <w:iCs/>
          <w:sz w:val="24"/>
          <w:szCs w:val="24"/>
        </w:rPr>
        <w:t>y</w:t>
      </w:r>
      <w:r w:rsidR="00D76C15" w:rsidRPr="003B401C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h</w:t>
      </w:r>
      <w:proofErr w:type="spellEnd"/>
      <w:r w:rsidR="00D76C15" w:rsidRPr="003B401C">
        <w:rPr>
          <w:rFonts w:ascii="Times New Roman" w:hAnsi="Times New Roman" w:cs="Times New Roman"/>
          <w:iCs/>
          <w:sz w:val="24"/>
          <w:szCs w:val="24"/>
        </w:rPr>
        <w:t xml:space="preserve">, 1953, 328 </w:t>
      </w:r>
      <w:r w:rsidR="00D76C15">
        <w:rPr>
          <w:rFonts w:ascii="Times New Roman" w:hAnsi="Times New Roman" w:cs="Times New Roman"/>
          <w:iCs/>
          <w:sz w:val="24"/>
          <w:szCs w:val="24"/>
        </w:rPr>
        <w:t>s.</w:t>
      </w:r>
    </w:p>
    <w:p w:rsidR="00D76C15" w:rsidRPr="003B401C" w:rsidRDefault="00D76C15" w:rsidP="00D76C15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6C15" w:rsidRPr="004B7540" w:rsidRDefault="00D76C15" w:rsidP="00D76C15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4B7540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ÖZET</w:t>
      </w:r>
    </w:p>
    <w:p w:rsidR="00D76C15" w:rsidRPr="003B401C" w:rsidRDefault="00D76C15" w:rsidP="00D76C15">
      <w:pPr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D76C15" w:rsidRPr="003B401C" w:rsidRDefault="00D76C15" w:rsidP="00D76C15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Ahlak Felsefesinde Genel Faydacılık</w:t>
      </w:r>
    </w:p>
    <w:p w:rsidR="00D76C15" w:rsidRPr="003B401C" w:rsidRDefault="00D76C15" w:rsidP="00D76C15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</w:p>
    <w:p w:rsidR="00D76C15" w:rsidRPr="00D42170" w:rsidRDefault="00D76C15" w:rsidP="00D76C15">
      <w:pPr>
        <w:bidi/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D42170">
        <w:rPr>
          <w:rFonts w:ascii="Times New Roman" w:hAnsi="Times New Roman" w:cs="Times New Roman"/>
          <w:iCs/>
          <w:sz w:val="24"/>
          <w:szCs w:val="24"/>
          <w:rtl/>
          <w:lang w:val="tr-TR"/>
        </w:rPr>
        <w:t>مذهب المنفعة العامة في فلسفة الأخلاق</w:t>
      </w:r>
    </w:p>
    <w:p w:rsidR="00D76C15" w:rsidRPr="003B401C" w:rsidRDefault="00D76C15" w:rsidP="00D76C15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6C15" w:rsidRDefault="00D76C15" w:rsidP="005D3E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B2A00">
        <w:rPr>
          <w:rFonts w:ascii="Times New Roman" w:hAnsi="Times New Roman" w:cs="Times New Roman"/>
          <w:sz w:val="24"/>
          <w:szCs w:val="24"/>
        </w:rPr>
        <w:t>Madhhab al-</w:t>
      </w:r>
      <w:proofErr w:type="spellStart"/>
      <w:proofErr w:type="gramStart"/>
      <w:r w:rsidRPr="00FB2A00">
        <w:rPr>
          <w:rFonts w:ascii="Times New Roman" w:hAnsi="Times New Roman" w:cs="Times New Roman"/>
          <w:sz w:val="24"/>
          <w:szCs w:val="24"/>
        </w:rPr>
        <w:t>Manfa‘a</w:t>
      </w:r>
      <w:proofErr w:type="spellEnd"/>
      <w:proofErr w:type="gramEnd"/>
      <w:r w:rsidRPr="00FB2A00">
        <w:rPr>
          <w:rFonts w:ascii="Times New Roman" w:hAnsi="Times New Roman" w:cs="Times New Roman"/>
          <w:sz w:val="24"/>
          <w:szCs w:val="24"/>
        </w:rPr>
        <w:t xml:space="preserve"> al-‘</w:t>
      </w:r>
      <w:proofErr w:type="spellStart"/>
      <w:r w:rsidRPr="00FB2A00">
        <w:rPr>
          <w:rFonts w:ascii="Times New Roman" w:hAnsi="Times New Roman" w:cs="Times New Roman"/>
          <w:sz w:val="24"/>
          <w:szCs w:val="24"/>
        </w:rPr>
        <w:t>Amma</w:t>
      </w:r>
      <w:proofErr w:type="spellEnd"/>
      <w:r w:rsidRPr="00FB2A0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B2A00">
        <w:rPr>
          <w:rFonts w:ascii="Times New Roman" w:hAnsi="Times New Roman" w:cs="Times New Roman"/>
          <w:sz w:val="24"/>
          <w:szCs w:val="24"/>
        </w:rPr>
        <w:t>Falsafat</w:t>
      </w:r>
      <w:proofErr w:type="spellEnd"/>
      <w:r w:rsidRPr="00FB2A00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B2A00">
        <w:rPr>
          <w:rFonts w:ascii="Times New Roman" w:hAnsi="Times New Roman" w:cs="Times New Roman"/>
          <w:sz w:val="24"/>
          <w:szCs w:val="24"/>
        </w:rPr>
        <w:t>Akhlaq</w:t>
      </w:r>
      <w:proofErr w:type="spellEnd"/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 adlı bu eser çeşitli şekilleriyle Faydacılık öğretisini tanıtarak “…genel bir şekilde bilinen ahlak ekollerini…” (s.9) ele almaktadır. Kahire Üniversitesinde</w:t>
      </w:r>
      <w:r w:rsidR="005D3E13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D3E13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anat ve </w:t>
      </w:r>
      <w:r w:rsidR="005D3E13" w:rsidRPr="00FB2A00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eşeri </w:t>
      </w:r>
      <w:r w:rsidR="005D3E13" w:rsidRPr="00FB2A00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ilimler </w:t>
      </w:r>
      <w:r w:rsidR="005D3E13" w:rsidRPr="00FB2A00">
        <w:rPr>
          <w:rFonts w:ascii="Times New Roman" w:hAnsi="Times New Roman" w:cs="Times New Roman"/>
          <w:sz w:val="24"/>
          <w:szCs w:val="24"/>
          <w:lang w:val="tr-TR"/>
        </w:rPr>
        <w:t>F</w:t>
      </w:r>
      <w:r w:rsidRPr="00FB2A00">
        <w:rPr>
          <w:rFonts w:ascii="Times New Roman" w:hAnsi="Times New Roman" w:cs="Times New Roman"/>
          <w:sz w:val="24"/>
          <w:szCs w:val="24"/>
          <w:lang w:val="tr-TR"/>
        </w:rPr>
        <w:t>akültesinde felsefe profesörü olan yazar Dr. Tawfiq al-Tawil, eser boyunca bu konuyla ilgilenen Arapça referans kaynaklarındaki  boşluğu doldurmaya çalışmaktadır. Eser kısa bir giriş ile üç bölümden ve toplamda 328 sayfadan oluşmaktadır. İlk baskısı Kahire’de Maktabat al-Nahda al-Misriya yayı</w:t>
      </w:r>
      <w:r w:rsidR="005D3E13">
        <w:rPr>
          <w:rFonts w:ascii="Times New Roman" w:hAnsi="Times New Roman" w:cs="Times New Roman"/>
          <w:sz w:val="24"/>
          <w:szCs w:val="24"/>
          <w:lang w:val="tr-TR"/>
        </w:rPr>
        <w:t>m</w:t>
      </w:r>
      <w:bookmarkStart w:id="0" w:name="_GoBack"/>
      <w:bookmarkEnd w:id="0"/>
      <w:r w:rsidRPr="00FB2A00">
        <w:rPr>
          <w:rFonts w:ascii="Times New Roman" w:hAnsi="Times New Roman" w:cs="Times New Roman"/>
          <w:sz w:val="24"/>
          <w:szCs w:val="24"/>
          <w:lang w:val="tr-TR"/>
        </w:rPr>
        <w:t>larınca Kasım 1953’te yayınlanıp dağıtılmıştır.</w:t>
      </w:r>
    </w:p>
    <w:p w:rsidR="00D76C15" w:rsidRPr="00FB2A00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76C15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B2A00">
        <w:rPr>
          <w:rFonts w:ascii="Times New Roman" w:hAnsi="Times New Roman" w:cs="Times New Roman"/>
          <w:sz w:val="24"/>
          <w:szCs w:val="24"/>
          <w:lang w:val="tr-TR"/>
        </w:rPr>
        <w:t>İlk bölüm Faydacılığın alanını ve  hazcılık öğretisini tartışmaktadır. İkinci bölüm Bentham (1748-1832) ve John Stuart Mill’e göre Faydacılık konusuyla ilgilenirken üçüncü bölüm çağdaş Faydacılığın farklı şekillerine temas etmektedir: İlahiyatçı Faydacılık (Jay ve Pailey), Evrimci Faydacılık (Spencer 1820-1903), Sezgici Faydacılık (Henry Sedgwick 1838-1900), Pratik ve Pragmatik Faydacılık (John Dewey 1859-1952) ve yirmi birinci yüzyılda Faydacılık.</w:t>
      </w:r>
    </w:p>
    <w:p w:rsidR="00D76C15" w:rsidRPr="00FB2A00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76C15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B2A00">
        <w:rPr>
          <w:rFonts w:ascii="Times New Roman" w:hAnsi="Times New Roman" w:cs="Times New Roman"/>
          <w:sz w:val="24"/>
          <w:szCs w:val="24"/>
          <w:lang w:val="tr-TR"/>
        </w:rPr>
        <w:t>Sonuç bölümünde yazar her bir öğretinin özgüllüğünü ve bütün Faydacı ekoller arasında bulunan ortak temeli tartışarak her bir ekolün yerini değerlendirmektedir.</w:t>
      </w:r>
    </w:p>
    <w:p w:rsidR="00D76C15" w:rsidRPr="00FB2A00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76C15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B2A00">
        <w:rPr>
          <w:rFonts w:ascii="Times New Roman" w:hAnsi="Times New Roman" w:cs="Times New Roman"/>
          <w:sz w:val="24"/>
          <w:szCs w:val="24"/>
          <w:lang w:val="tr-TR"/>
        </w:rPr>
        <w:t>Eser bir düzeltme listesine ek olarak kitapta bulunan en önemli kavramların çeviri listesiyle yazarın yakın dönemdeki yayınlarının bir listesini de içermektedir.</w:t>
      </w:r>
    </w:p>
    <w:p w:rsidR="00D76C15" w:rsidRPr="00FB2A00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76C15" w:rsidRPr="00FB2A00" w:rsidRDefault="00D76C15" w:rsidP="00D76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B2A00">
        <w:rPr>
          <w:rFonts w:ascii="Times New Roman" w:hAnsi="Times New Roman" w:cs="Times New Roman"/>
          <w:sz w:val="24"/>
          <w:szCs w:val="24"/>
          <w:lang w:val="tr-TR"/>
        </w:rPr>
        <w:t xml:space="preserve">Bu eserin en önemli eksikliği ayrıntılı bir referans sisteminden yoksun olmasıdır. Yazar  eserin sonunda tam bir referans listesi sunmak yerine dipnotlar içerisinde yetersiz malumat vermekle yetinmektedir.  </w:t>
      </w:r>
    </w:p>
    <w:p w:rsidR="00D76C15" w:rsidRPr="003B401C" w:rsidRDefault="00D76C15" w:rsidP="00D76C15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:rsidR="00D76C15" w:rsidRPr="003B401C" w:rsidRDefault="00D76C15" w:rsidP="00D76C15">
      <w:pPr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iCs/>
          <w:sz w:val="24"/>
          <w:szCs w:val="24"/>
          <w:lang w:val="tr-TR"/>
        </w:rPr>
        <w:t>Dahlia Sabry</w:t>
      </w:r>
    </w:p>
    <w:p w:rsidR="009A0E2D" w:rsidRPr="00D76C15" w:rsidRDefault="00D76C15" w:rsidP="00D76C15">
      <w:pPr>
        <w:spacing w:after="0" w:line="480" w:lineRule="auto"/>
        <w:jc w:val="right"/>
        <w:rPr>
          <w:rFonts w:ascii="Times New Roman" w:hAnsi="Times New Roman" w:cs="Times New Roman"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Cs/>
          <w:sz w:val="24"/>
          <w:szCs w:val="24"/>
          <w:lang w:val="tr-TR"/>
        </w:rPr>
        <w:t>Çeviren Hasan Çolak</w:t>
      </w:r>
    </w:p>
    <w:sectPr w:rsidR="009A0E2D" w:rsidRPr="00D7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BE"/>
    <w:rsid w:val="000071C0"/>
    <w:rsid w:val="00083E80"/>
    <w:rsid w:val="000F1DBE"/>
    <w:rsid w:val="004B7540"/>
    <w:rsid w:val="005D3E13"/>
    <w:rsid w:val="006C6B50"/>
    <w:rsid w:val="00775B71"/>
    <w:rsid w:val="00791238"/>
    <w:rsid w:val="00AE2C6F"/>
    <w:rsid w:val="00D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7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7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2015-02-23T14:40:00Z</dcterms:created>
  <dcterms:modified xsi:type="dcterms:W3CDTF">2015-06-15T10:42:00Z</dcterms:modified>
</cp:coreProperties>
</file>