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E" w:rsidRPr="00187CAE" w:rsidRDefault="00187CAE" w:rsidP="00187CA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bidi="ar-TN"/>
        </w:rPr>
      </w:pPr>
      <w:r w:rsidRPr="00187CAE">
        <w:rPr>
          <w:rFonts w:ascii="Times New Roman" w:hAnsi="Times New Roman" w:cs="Times New Roman"/>
          <w:bCs/>
          <w:iCs/>
          <w:sz w:val="24"/>
          <w:szCs w:val="24"/>
          <w:lang w:bidi="ar-TN"/>
        </w:rPr>
        <w:t>Hasan, Ahmad.</w:t>
      </w:r>
      <w:r w:rsidRPr="00187CAE">
        <w:rPr>
          <w:rFonts w:ascii="Times New Roman" w:hAnsi="Times New Roman" w:cs="Times New Roman"/>
          <w:bCs/>
          <w:i/>
          <w:sz w:val="24"/>
          <w:szCs w:val="24"/>
          <w:lang w:bidi="ar-TN"/>
        </w:rPr>
        <w:t xml:space="preserve"> </w:t>
      </w:r>
      <w:proofErr w:type="gramStart"/>
      <w:r w:rsidRPr="00187CAE">
        <w:rPr>
          <w:rFonts w:ascii="Times New Roman" w:hAnsi="Times New Roman" w:cs="Times New Roman"/>
          <w:bCs/>
          <w:i/>
          <w:sz w:val="24"/>
          <w:szCs w:val="24"/>
          <w:lang w:bidi="ar-TN"/>
        </w:rPr>
        <w:t>The Early Development of Islamic Jurisprudence</w:t>
      </w:r>
      <w:r w:rsidRPr="00187CAE">
        <w:rPr>
          <w:rFonts w:ascii="Times New Roman" w:hAnsi="Times New Roman" w:cs="Times New Roman"/>
          <w:bCs/>
          <w:sz w:val="24"/>
          <w:szCs w:val="24"/>
          <w:lang w:bidi="ar-TN"/>
        </w:rPr>
        <w:t>.</w:t>
      </w:r>
      <w:proofErr w:type="gramEnd"/>
      <w:r w:rsidRPr="00187CAE">
        <w:rPr>
          <w:rFonts w:ascii="Times New Roman" w:hAnsi="Times New Roman" w:cs="Times New Roman"/>
          <w:bCs/>
          <w:sz w:val="24"/>
          <w:szCs w:val="24"/>
          <w:lang w:bidi="ar-TN"/>
        </w:rPr>
        <w:t xml:space="preserve"> Islamabad: Islamic Research Centre, 1970, 232pp.</w:t>
      </w:r>
    </w:p>
    <w:p w:rsidR="002D23E5" w:rsidRPr="003421A9" w:rsidRDefault="002D23E5" w:rsidP="002D23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23E5" w:rsidRPr="00B53811" w:rsidRDefault="002D23E5" w:rsidP="002D2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53811">
        <w:rPr>
          <w:rFonts w:ascii="Times New Roman" w:hAnsi="Times New Roman" w:cs="Times New Roman"/>
          <w:b/>
          <w:sz w:val="24"/>
          <w:szCs w:val="24"/>
          <w:lang w:val="tr-TR"/>
        </w:rPr>
        <w:t>ABSTRACT</w:t>
      </w:r>
    </w:p>
    <w:p w:rsidR="002D23E5" w:rsidRPr="003421A9" w:rsidRDefault="002D23E5" w:rsidP="002D2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D23E5" w:rsidRPr="002D23E5" w:rsidRDefault="002D23E5" w:rsidP="002D2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E5">
        <w:rPr>
          <w:rFonts w:ascii="Times New Roman" w:hAnsi="Times New Roman" w:cs="Times New Roman"/>
          <w:b/>
          <w:sz w:val="24"/>
          <w:szCs w:val="24"/>
          <w:lang w:val="tr-TR"/>
        </w:rPr>
        <w:t>The Early Development of Islamic Jurisprudence</w:t>
      </w:r>
    </w:p>
    <w:p w:rsidR="002D23E5" w:rsidRPr="003421A9" w:rsidRDefault="002D23E5" w:rsidP="002D23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This book by Ahmad Hasan describes the evolution of the science of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(Islamic jurisprudence). </w:t>
      </w: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Chapter one describes how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as the exercise of one’s intelligence and personal thinking, was narrowed down to signify jurisprudence as Islamic teachings became codified, and how the contemporary concepts of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ilm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(knowledge),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sharia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(God’s path for </w:t>
      </w:r>
      <w:r>
        <w:rPr>
          <w:rFonts w:ascii="Times New Roman" w:hAnsi="Times New Roman" w:cs="Times New Roman"/>
          <w:bCs/>
          <w:sz w:val="24"/>
          <w:szCs w:val="24"/>
        </w:rPr>
        <w:t>humankind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) and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din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(basic beliefs) went through a similar transformation. </w:t>
      </w: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>The next two chapters provide a background of the four schools of thought (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Maliki,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Shafa‘i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Hanbali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Hanafi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) and the sources of information (the Qur’an, </w:t>
      </w:r>
      <w:proofErr w:type="spellStart"/>
      <w:proofErr w:type="gramStart"/>
      <w:r w:rsidRPr="003421A9">
        <w:rPr>
          <w:rFonts w:ascii="Times New Roman" w:hAnsi="Times New Roman" w:cs="Times New Roman"/>
          <w:bCs/>
          <w:sz w:val="24"/>
          <w:szCs w:val="24"/>
        </w:rPr>
        <w:t>sunna</w:t>
      </w:r>
      <w:proofErr w:type="spellEnd"/>
      <w:proofErr w:type="gram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hadith,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(independent interpretation) and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ijma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’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(the unanimous agreement of the jurists of the community of a particular age on a certain issue) in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In chapter four, the author discusses the role that various theories on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naskh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the replacement of previous Qur’anic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ayat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(verses) by new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ayat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played in the development of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>In chapter five, Hasan refers to the works of the jurists al-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Awza‘i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Malik, Abu Yusuf and </w:t>
      </w:r>
      <w:r w:rsidRPr="003421A9">
        <w:rPr>
          <w:rFonts w:ascii="Times New Roman" w:hAnsi="Times New Roman" w:cs="Times New Roman"/>
          <w:bCs/>
          <w:sz w:val="24"/>
          <w:szCs w:val="24"/>
        </w:rPr>
        <w:br/>
        <w:t>al-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Shaybani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to highlight how </w:t>
      </w:r>
      <w:proofErr w:type="spellStart"/>
      <w:proofErr w:type="gramStart"/>
      <w:r w:rsidRPr="003421A9">
        <w:rPr>
          <w:rFonts w:ascii="Times New Roman" w:hAnsi="Times New Roman" w:cs="Times New Roman"/>
          <w:bCs/>
          <w:sz w:val="24"/>
          <w:szCs w:val="24"/>
        </w:rPr>
        <w:t>sunna</w:t>
      </w:r>
      <w:proofErr w:type="spellEnd"/>
      <w:proofErr w:type="gram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which originally meant “social practice”, came to signify the Prophet Mohammad’s conduct in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Hasan highlights how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bid’a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(innovation) and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fitnah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(general corruption) created difficulties in categorising true and false hadith and how certain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ijma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helped jurists in these situations.</w:t>
      </w: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3E5" w:rsidRPr="003421A9" w:rsidRDefault="002D23E5" w:rsidP="00187CA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In chapters six and seven, Hasan returns to the discussion of the sources of information in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that he began in chapter three. He discusses the evolution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in relation to the changing conceptualisations of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ra‘y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(personal opinion),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Qiyas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(analogical reasoning), and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ijma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with reference to regional specifications. The final chapter elaborates on the role of the al-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Shafa‘i</w:t>
      </w:r>
      <w:bookmarkStart w:id="0" w:name="_GoBack"/>
      <w:bookmarkEnd w:id="0"/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school as a turning point in developing concepts such as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ra‘y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Qiyas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, ‘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Ijma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’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Istihsan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(arbitrary opinion) into separate fields of inquiry in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The book presents a holistic discussion of the development of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. However, the complete picture is obscured, as it is unclear how the sources of information developed individually. Nevertheless, the book carries an extensive bibliography and is a rich resource for both new and advanced students of Islamic jurisprudence.</w:t>
      </w:r>
    </w:p>
    <w:p w:rsidR="002D23E5" w:rsidRPr="003421A9" w:rsidRDefault="002D23E5" w:rsidP="002D23E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0E2D" w:rsidRDefault="002D23E5" w:rsidP="002D23E5"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</w:r>
      <w:r w:rsidRPr="003421A9">
        <w:rPr>
          <w:rFonts w:ascii="Times New Roman" w:hAnsi="Times New Roman" w:cs="Times New Roman"/>
          <w:bCs/>
          <w:sz w:val="24"/>
          <w:szCs w:val="24"/>
        </w:rPr>
        <w:tab/>
        <w:t xml:space="preserve">      Sanaa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Riaz</w:t>
      </w:r>
      <w:proofErr w:type="spellEnd"/>
    </w:p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3B"/>
    <w:rsid w:val="000071C0"/>
    <w:rsid w:val="00083E80"/>
    <w:rsid w:val="00187CAE"/>
    <w:rsid w:val="002D23E5"/>
    <w:rsid w:val="006C6B50"/>
    <w:rsid w:val="00791238"/>
    <w:rsid w:val="00A91D3B"/>
    <w:rsid w:val="00B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2015-02-23T12:16:00Z</dcterms:created>
  <dcterms:modified xsi:type="dcterms:W3CDTF">2015-03-18T15:20:00Z</dcterms:modified>
</cp:coreProperties>
</file>