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FB" w:rsidRPr="003B401C" w:rsidRDefault="003103FB" w:rsidP="003103F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01C">
        <w:rPr>
          <w:rFonts w:ascii="Times New Roman" w:hAnsi="Times New Roman" w:cs="Times New Roman"/>
          <w:sz w:val="24"/>
          <w:szCs w:val="24"/>
          <w:lang w:val="en-US"/>
        </w:rPr>
        <w:t xml:space="preserve">Husain, </w:t>
      </w:r>
      <w:r w:rsidRPr="003B401C">
        <w:rPr>
          <w:rFonts w:ascii="Times New Roman" w:hAnsi="Times New Roman" w:cs="Times New Roman"/>
          <w:sz w:val="24"/>
          <w:szCs w:val="24"/>
        </w:rPr>
        <w:t xml:space="preserve">S. </w:t>
      </w:r>
      <w:r w:rsidRPr="003B401C">
        <w:rPr>
          <w:rFonts w:ascii="Times New Roman" w:hAnsi="Times New Roman" w:cs="Times New Roman"/>
          <w:sz w:val="24"/>
          <w:szCs w:val="24"/>
          <w:lang w:val="en-US"/>
        </w:rPr>
        <w:t xml:space="preserve">Athar. </w:t>
      </w:r>
      <w:r w:rsidRPr="003B401C">
        <w:rPr>
          <w:rFonts w:ascii="Times New Roman" w:hAnsi="Times New Roman" w:cs="Times New Roman"/>
          <w:i/>
          <w:iCs/>
          <w:sz w:val="24"/>
          <w:szCs w:val="24"/>
          <w:lang w:val="en-US"/>
        </w:rPr>
        <w:t>Muslim Personal Law: an Exposition</w:t>
      </w:r>
      <w:r w:rsidRPr="003B40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Lucknow: </w:t>
      </w:r>
      <w:r w:rsidRPr="003B401C">
        <w:rPr>
          <w:rFonts w:ascii="Times New Roman" w:hAnsi="Times New Roman" w:cs="Times New Roman"/>
          <w:sz w:val="24"/>
          <w:szCs w:val="24"/>
          <w:lang w:val="en-US"/>
        </w:rPr>
        <w:t>All India Muslim Personal Law Board, 1989, 230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0061" w:rsidRPr="003103FB" w:rsidRDefault="00EB0061" w:rsidP="00EB006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EB0061" w:rsidRPr="001B543C" w:rsidRDefault="00EB0061" w:rsidP="00EB006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B543C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p w:rsidR="00EB0061" w:rsidRPr="00DA0DE2" w:rsidRDefault="00EB0061" w:rsidP="00EB0061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B0061" w:rsidRPr="00DA0DE2" w:rsidRDefault="00EB0061" w:rsidP="007C4BA7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قانون الأحوال الشخصية الإسلامي: </w:t>
      </w:r>
      <w:r w:rsidR="007C4BA7">
        <w:rPr>
          <w:rFonts w:ascii="Times New Roman" w:hAnsi="Times New Roman" w:cs="Times New Roman" w:hint="cs"/>
          <w:b/>
          <w:bCs/>
          <w:sz w:val="24"/>
          <w:szCs w:val="24"/>
          <w:rtl/>
        </w:rPr>
        <w:t>شرح</w:t>
      </w:r>
    </w:p>
    <w:p w:rsidR="00EB0061" w:rsidRPr="00DA0DE2" w:rsidRDefault="00EB0061" w:rsidP="00EB006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EB0061" w:rsidRPr="00DA0DE2" w:rsidRDefault="00EB0061" w:rsidP="00EB0061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Muslim Personal Law: an Exposition</w:t>
      </w:r>
    </w:p>
    <w:p w:rsidR="00EB0061" w:rsidRPr="00DA0DE2" w:rsidRDefault="00EB0061" w:rsidP="00EB006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EB0061" w:rsidRPr="00DA0DE2" w:rsidRDefault="00EB0061" w:rsidP="00EB006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يركز الكتاب على قانون الأحوال الشخصية الإسلامي، غير أن بعض القضايا الأخرى التي لا تتصل بشكل مباشر بالموضوع الرئيسي قد تم تناولها أيضا.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و </w:t>
      </w:r>
      <w:r w:rsidRPr="00DA0DE2">
        <w:rPr>
          <w:rFonts w:ascii="Times New Roman" w:hAnsi="Times New Roman" w:cs="Times New Roman"/>
          <w:sz w:val="24"/>
          <w:szCs w:val="24"/>
          <w:rtl/>
        </w:rPr>
        <w:t>ينقسم العمل إلى ثلاثة أجزاء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، </w:t>
      </w:r>
      <w:r w:rsidRPr="00DA0DE2">
        <w:rPr>
          <w:rFonts w:ascii="Times New Roman" w:hAnsi="Times New Roman" w:cs="Times New Roman"/>
          <w:sz w:val="24"/>
          <w:szCs w:val="24"/>
          <w:rtl/>
        </w:rPr>
        <w:t>يعتبر الأول منه بمثابة مقدمة طويلة يعالج فيها الكاتب بعض المسائل العامة مثل التطور التاريخي لقانون الأحوال الشخصية الإسلامي، و وضع المرأة، و دور حقوق الإنسان في الإسلام، كل بإيجاز، كما خُصص القسمان الأخيران من هذا الجزء للجهاد و الزكاة. و لا يمثل الجهاد و الزكاة نظريا جزءا من قانون الأحوال الشخصية الإسلامي، إلا أن الكاتب أحس أنه من الضروري تناولهما و شرحهما نظرا لأنهما قضيتان حاسمتان في تطور الفقه الإسلامي.</w:t>
      </w:r>
    </w:p>
    <w:p w:rsidR="00EB0061" w:rsidRPr="00DA0DE2" w:rsidRDefault="00EB0061" w:rsidP="00EB006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EB0061" w:rsidRDefault="00EB0061" w:rsidP="007C4BA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يتناول الجزء الثاني من الكتاب </w:t>
      </w:r>
      <w:r w:rsidR="007C4BA7">
        <w:rPr>
          <w:rFonts w:ascii="Times New Roman" w:hAnsi="Times New Roman" w:cs="Times New Roman"/>
          <w:sz w:val="24"/>
          <w:szCs w:val="24"/>
        </w:rPr>
        <w:t>-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هو الأطول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-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المؤسسات الإسلامية الرئيسية: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ك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الزواج، و</w:t>
      </w:r>
      <w:r w:rsidR="007C4BA7">
        <w:rPr>
          <w:rFonts w:ascii="Times New Roman" w:hAnsi="Times New Roman" w:cs="Times New Roman"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الطلاق، و الهبة، و الوصية، و الأوقاف، إلخ. و </w:t>
      </w:r>
      <w:r w:rsidR="007C4BA7">
        <w:rPr>
          <w:rFonts w:ascii="Times New Roman" w:hAnsi="Times New Roman" w:cs="Times New Roman" w:hint="cs"/>
          <w:sz w:val="24"/>
          <w:szCs w:val="24"/>
          <w:rtl/>
        </w:rPr>
        <w:t>يشكل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الجزء الثالث و الختامي مقالا قصيرا حول مساهمة الإسلام في العالم في الوقت الحاضر.</w:t>
      </w:r>
    </w:p>
    <w:p w:rsidR="007C4BA7" w:rsidRPr="00DA0DE2" w:rsidRDefault="007C4BA7" w:rsidP="007C4BA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B0061" w:rsidRPr="00DA0DE2" w:rsidRDefault="00EB0061" w:rsidP="007C4BA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يخاطب هذا الكتاب عامة القراء، إلا أن الإحالات الدائمة للآيات القرآنية و الاقتباسات المتكررة منها تجعل قراءته صعبة بالنسبة لغير المتخصصين. و علاوة على ذلك، هناك بعض المثالب العامة فيما يتصل بشرح كيفية تطور القانون الإسلامي في السياق الهندي الذي يتسم بتعايش ال</w:t>
      </w:r>
      <w:r w:rsidR="007C4BA7">
        <w:rPr>
          <w:rFonts w:ascii="Times New Roman" w:hAnsi="Times New Roman" w:cs="Times New Roman"/>
          <w:sz w:val="24"/>
          <w:szCs w:val="24"/>
          <w:rtl/>
        </w:rPr>
        <w:t>عديد من المجتمعات جنبا إلى جنب</w:t>
      </w:r>
      <w:r w:rsidR="007C4BA7">
        <w:rPr>
          <w:rFonts w:ascii="Times New Roman" w:hAnsi="Times New Roman" w:cs="Times New Roman" w:hint="cs"/>
          <w:sz w:val="24"/>
          <w:szCs w:val="24"/>
          <w:rtl/>
        </w:rPr>
        <w:t xml:space="preserve">، </w:t>
      </w:r>
      <w:r w:rsidRPr="00DA0DE2">
        <w:rPr>
          <w:rFonts w:ascii="Times New Roman" w:hAnsi="Times New Roman" w:cs="Times New Roman"/>
          <w:sz w:val="24"/>
          <w:szCs w:val="24"/>
          <w:rtl/>
        </w:rPr>
        <w:t>فقد أخفق المؤلف على سبيل المثال في تقديم شرح مقنع للأسباب التي تحول دون تعديل ا</w:t>
      </w:r>
      <w:r w:rsidR="007C4BA7">
        <w:rPr>
          <w:rFonts w:ascii="Times New Roman" w:hAnsi="Times New Roman" w:cs="Times New Roman"/>
          <w:sz w:val="24"/>
          <w:szCs w:val="24"/>
          <w:rtl/>
        </w:rPr>
        <w:t xml:space="preserve">لقانون الإسلامي في الهند. كما </w:t>
      </w:r>
      <w:r w:rsidRPr="00DA0DE2">
        <w:rPr>
          <w:rFonts w:ascii="Times New Roman" w:hAnsi="Times New Roman" w:cs="Times New Roman"/>
          <w:sz w:val="24"/>
          <w:szCs w:val="24"/>
          <w:rtl/>
        </w:rPr>
        <w:t>يتسم أسلوب الكاتب في بعض أجزاء الكتاب بنبرة دفاعية تبريرية غير تفسيرية، و هو ما يقوض موضوعية الكتاب في شرح بعض جوانب الشريعة الإسلامية.</w:t>
      </w:r>
    </w:p>
    <w:p w:rsidR="00EB0061" w:rsidRPr="00DA0DE2" w:rsidRDefault="00EB0061" w:rsidP="00EB006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B0061" w:rsidRPr="00DA0DE2" w:rsidRDefault="00EB0061" w:rsidP="00EB006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أنطونلا فيولا</w:t>
      </w:r>
    </w:p>
    <w:p w:rsidR="00EB0061" w:rsidRPr="00DA0DE2" w:rsidRDefault="00EB0061" w:rsidP="00EB006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ترجمة عادل لاغة</w:t>
      </w:r>
    </w:p>
    <w:sectPr w:rsidR="00EB0061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6A"/>
    <w:rsid w:val="000071C0"/>
    <w:rsid w:val="00083E80"/>
    <w:rsid w:val="001B543C"/>
    <w:rsid w:val="00287C6A"/>
    <w:rsid w:val="003103FB"/>
    <w:rsid w:val="006C6B50"/>
    <w:rsid w:val="00791238"/>
    <w:rsid w:val="007C4BA7"/>
    <w:rsid w:val="00C20F39"/>
    <w:rsid w:val="00E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3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3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2015-02-23T15:12:00Z</dcterms:created>
  <dcterms:modified xsi:type="dcterms:W3CDTF">2015-06-10T15:29:00Z</dcterms:modified>
</cp:coreProperties>
</file>