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16" w:rsidRPr="00DA0DE2" w:rsidRDefault="004F3616" w:rsidP="004F361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bidi="fa-IR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 xml:space="preserve">زحيلي، وهبة. </w:t>
      </w:r>
      <w:r w:rsidRPr="00DA0DE2">
        <w:rPr>
          <w:rFonts w:ascii="Times New Roman" w:hAnsi="Times New Roman" w:cs="Times New Roman"/>
          <w:b/>
          <w:iCs/>
          <w:sz w:val="24"/>
          <w:szCs w:val="24"/>
          <w:rtl/>
          <w:lang w:bidi="fa-IR"/>
        </w:rPr>
        <w:t>أصول الفقه الاسلامي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>. دمشق: دار الفکر، ١٩٨٦، مجلدا</w:t>
      </w:r>
      <w:r>
        <w:rPr>
          <w:rFonts w:ascii="Times New Roman" w:hAnsi="Times New Roman" w:cs="Times New Roman" w:hint="cs"/>
          <w:b/>
          <w:i/>
          <w:sz w:val="24"/>
          <w:szCs w:val="24"/>
          <w:rtl/>
          <w:lang w:bidi="fa-IR"/>
        </w:rPr>
        <w:t>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  <w:t xml:space="preserve"> ١٢٣٠ ص.</w:t>
      </w:r>
    </w:p>
    <w:p w:rsidR="004F3616" w:rsidRPr="00DA0DE2" w:rsidRDefault="004F3616" w:rsidP="004F3616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fa-IR"/>
        </w:rPr>
      </w:pPr>
    </w:p>
    <w:p w:rsidR="004F3616" w:rsidRPr="00DA0DE2" w:rsidRDefault="004F3616" w:rsidP="004F3616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Zuhayli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Wahbah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Usul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Fiqh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US"/>
        </w:rPr>
        <w:t>Islami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Damascus: Dar al-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Fikr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1986, 2 </w:t>
      </w:r>
      <w:proofErr w:type="gram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vols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.,</w:t>
      </w:r>
      <w:proofErr w:type="gramEnd"/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1230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946112" w:rsidRPr="003421A9" w:rsidRDefault="00946112" w:rsidP="009461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112" w:rsidRPr="004F3616" w:rsidRDefault="00946112" w:rsidP="009461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3616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946112" w:rsidRPr="003421A9" w:rsidRDefault="00946112" w:rsidP="009461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6112" w:rsidRPr="003421A9" w:rsidRDefault="00946112" w:rsidP="00946112">
      <w:pPr>
        <w:spacing w:after="0" w:line="48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421A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Fundamentals of Islamic Law</w:t>
      </w:r>
    </w:p>
    <w:p w:rsidR="00946112" w:rsidRPr="003421A9" w:rsidRDefault="00946112" w:rsidP="00946112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946112" w:rsidRPr="003421A9" w:rsidRDefault="00946112" w:rsidP="00946112">
      <w:pPr>
        <w:bidi/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1A9">
        <w:rPr>
          <w:rFonts w:ascii="Times New Roman" w:hAnsi="Times New Roman" w:cs="Times New Roman"/>
          <w:i/>
          <w:iCs/>
          <w:sz w:val="24"/>
          <w:szCs w:val="24"/>
          <w:rtl/>
          <w:lang w:val="tr-TR" w:bidi="fa-IR"/>
        </w:rPr>
        <w:t>أصول الفقه الإسلامي</w:t>
      </w: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As a discipline of sharia to study the sources of Islamic law and the methodology for its development,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has always occupied a prominent place in the teaching curricula of Islamic institutions of legal learning. </w:t>
      </w: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</w:rPr>
        <w:t>Wahbah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Zuhayli’s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color w:val="000000"/>
          <w:sz w:val="24"/>
          <w:szCs w:val="24"/>
        </w:rPr>
        <w:t>aim is to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provide a comprehensive textbook on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, combining the values of classical and modern works. His work is intended as a reference for students seeking an intermediate to advanced level of proficiency in the subject.</w:t>
      </w: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112" w:rsidRPr="003421A9" w:rsidRDefault="00946112" w:rsidP="00FB52CF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book deals with a range of topics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After discussing the definition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its coverage, and the purpose of studying it,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devotes eight chapters to the discussion of familiar topics such as laws of sharia (</w:t>
      </w:r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ahkam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shar‘iyya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rules of deducing laws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dalalat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istinbat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ahkam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sources of law agreed upon and not agreed upon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masadir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ahkam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muttafaq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wa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mukhtalaf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alayh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doctrine of abrogation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naskh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objectives of Islamic law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maqasid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="00FB52CF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har</w:t>
      </w:r>
      <w:r w:rsidR="00FB52CF">
        <w:rPr>
          <w:rFonts w:ascii="Times New Roman" w:hAnsi="Times New Roman" w:cs="Times New Roman"/>
          <w:bCs/>
          <w:i/>
          <w:sz w:val="24"/>
          <w:szCs w:val="24"/>
        </w:rPr>
        <w:t>‘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iah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legal exertion and blind imitation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ijtihad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wa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taqlid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), and conflict of evidences (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ta‘arud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adillah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color w:val="000000"/>
          <w:sz w:val="24"/>
          <w:szCs w:val="24"/>
        </w:rPr>
        <w:t>illustrates his discussion with frequent references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from the Qur’an, hadith, and well-known works of authority, both classical and </w:t>
      </w:r>
      <w:r w:rsidRPr="003421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contemporary. A selection of works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ranging from the concise to the elaborate, is provided in a bibliography. </w:t>
      </w: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1A9">
        <w:rPr>
          <w:rFonts w:ascii="Times New Roman" w:hAnsi="Times New Roman" w:cs="Times New Roman"/>
          <w:color w:val="000000"/>
          <w:sz w:val="24"/>
          <w:szCs w:val="24"/>
        </w:rPr>
        <w:t>Zuhayli</w:t>
      </w:r>
      <w:proofErr w:type="spellEnd"/>
      <w:r w:rsidRPr="00342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has presented his work in a consolidated and simplified form, making it accessible to modern students of Islamic law. In comparison with earlier works on the subject,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Zuhayli’s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color w:val="000000"/>
          <w:sz w:val="24"/>
          <w:szCs w:val="24"/>
        </w:rPr>
        <w:t>work, in two volumes, is fairly concise.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However, like its predecessors, the book focuses on the juridical aspects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and leaves out its history of development. As one might expect from a modern work on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>, the book preserves the continuity of previous authorities and offers a more even-handed treatment of the views and doctrines of various schools of thought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421A9">
        <w:rPr>
          <w:rFonts w:ascii="Times New Roman" w:hAnsi="Times New Roman" w:cs="Times New Roman"/>
          <w:bCs/>
          <w:sz w:val="24"/>
          <w:szCs w:val="24"/>
        </w:rPr>
        <w:t>(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ma</w:t>
      </w:r>
      <w:r>
        <w:rPr>
          <w:rFonts w:ascii="Times New Roman" w:hAnsi="Times New Roman" w:cs="Times New Roman"/>
          <w:bCs/>
          <w:i/>
          <w:sz w:val="24"/>
          <w:szCs w:val="24"/>
        </w:rPr>
        <w:t>dh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hab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), both legal and theological, such as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Mu‘tazila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Shia and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Ash‘ariyya</w:t>
      </w:r>
      <w:bookmarkStart w:id="0" w:name="_GoBack"/>
      <w:bookmarkEnd w:id="0"/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112" w:rsidRPr="003421A9" w:rsidRDefault="00946112" w:rsidP="0094611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theoretical exposition of ideas and doctrines of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ma</w:t>
      </w:r>
      <w:r>
        <w:rPr>
          <w:rFonts w:ascii="Times New Roman" w:hAnsi="Times New Roman" w:cs="Times New Roman"/>
          <w:bCs/>
          <w:i/>
          <w:sz w:val="24"/>
          <w:szCs w:val="24"/>
        </w:rPr>
        <w:t>dh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hab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is presented to enrich the reader’s comprehension of the subject. Even though an occasional instance of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tarjih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(giving more weight to a particular opinion) appears, on the whole,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judges the views and doctrines of various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ma</w:t>
      </w:r>
      <w:r>
        <w:rPr>
          <w:rFonts w:ascii="Times New Roman" w:hAnsi="Times New Roman" w:cs="Times New Roman"/>
          <w:bCs/>
          <w:i/>
          <w:sz w:val="24"/>
          <w:szCs w:val="24"/>
        </w:rPr>
        <w:t>dh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hab 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on their merits to highlight their contribution to Islamic law and jurisprudence. As a result, a strong orientation toward particular 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ma</w:t>
      </w:r>
      <w:r>
        <w:rPr>
          <w:rFonts w:ascii="Times New Roman" w:hAnsi="Times New Roman" w:cs="Times New Roman"/>
          <w:bCs/>
          <w:i/>
          <w:sz w:val="24"/>
          <w:szCs w:val="24"/>
        </w:rPr>
        <w:t>dh</w:t>
      </w:r>
      <w:r w:rsidRPr="003421A9">
        <w:rPr>
          <w:rFonts w:ascii="Times New Roman" w:hAnsi="Times New Roman" w:cs="Times New Roman"/>
          <w:bCs/>
          <w:i/>
          <w:sz w:val="24"/>
          <w:szCs w:val="24"/>
        </w:rPr>
        <w:t>hab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noticeable in earlier works on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, is not a feature of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Zuhayli’s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work. </w:t>
      </w:r>
      <w:proofErr w:type="spellStart"/>
      <w:r w:rsidRPr="003421A9">
        <w:rPr>
          <w:rFonts w:ascii="Times New Roman" w:hAnsi="Times New Roman" w:cs="Times New Roman"/>
          <w:i/>
          <w:color w:val="000000"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i/>
          <w:color w:val="000000"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i/>
          <w:color w:val="000000"/>
          <w:sz w:val="24"/>
          <w:szCs w:val="24"/>
        </w:rPr>
        <w:t>Islami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will be appreciated by those who are concerned with studying and teaching 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3421A9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3421A9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112" w:rsidRPr="003421A9" w:rsidRDefault="00946112" w:rsidP="0094611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0E2D" w:rsidRDefault="00946112" w:rsidP="00946112">
      <w:pPr>
        <w:jc w:val="right"/>
      </w:pP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Raden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Cecep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Lukman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Yasin</w:t>
      </w:r>
      <w:proofErr w:type="spellEnd"/>
    </w:p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96"/>
    <w:rsid w:val="000071C0"/>
    <w:rsid w:val="00083E80"/>
    <w:rsid w:val="004F3616"/>
    <w:rsid w:val="006C6B50"/>
    <w:rsid w:val="00791238"/>
    <w:rsid w:val="00946112"/>
    <w:rsid w:val="00EA0C96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1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12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4</cp:revision>
  <dcterms:created xsi:type="dcterms:W3CDTF">2015-02-23T16:14:00Z</dcterms:created>
  <dcterms:modified xsi:type="dcterms:W3CDTF">2015-06-12T11:47:00Z</dcterms:modified>
</cp:coreProperties>
</file>