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03" w:rsidRPr="00DA0DE2" w:rsidRDefault="00117E03" w:rsidP="00117E03">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الخن</w:t>
      </w:r>
      <w:r w:rsidRPr="00DA0DE2">
        <w:rPr>
          <w:rFonts w:ascii="Times New Roman" w:hAnsi="Times New Roman" w:cs="Times New Roman"/>
          <w:sz w:val="24"/>
          <w:szCs w:val="24"/>
          <w:rtl/>
          <w:lang w:bidi="ar-SY"/>
        </w:rPr>
        <w:t>،</w:t>
      </w:r>
      <w:r w:rsidRPr="00DA0DE2">
        <w:rPr>
          <w:rFonts w:ascii="Times New Roman" w:hAnsi="Times New Roman" w:cs="Times New Roman"/>
          <w:sz w:val="24"/>
          <w:szCs w:val="24"/>
          <w:rtl/>
        </w:rPr>
        <w:t xml:space="preserve"> مصطفى سعيد. </w:t>
      </w:r>
      <w:r w:rsidRPr="00DA0DE2">
        <w:rPr>
          <w:rFonts w:ascii="Times New Roman" w:hAnsi="Times New Roman" w:cs="Times New Roman"/>
          <w:i/>
          <w:iCs/>
          <w:sz w:val="24"/>
          <w:szCs w:val="24"/>
          <w:rtl/>
        </w:rPr>
        <w:t>أثر الاختلاف في القواعد الأصولية في اختلاف الفقهاء</w:t>
      </w:r>
      <w:r w:rsidRPr="00DA0DE2">
        <w:rPr>
          <w:rFonts w:ascii="Times New Roman" w:hAnsi="Times New Roman" w:cs="Times New Roman"/>
          <w:sz w:val="24"/>
          <w:szCs w:val="24"/>
          <w:rtl/>
        </w:rPr>
        <w:t>. بيروت: مؤسسة الرسالة، ١٩٧٢، ٦٤٣ ص.</w:t>
      </w:r>
    </w:p>
    <w:p w:rsidR="00117E03" w:rsidRPr="00DA0DE2" w:rsidRDefault="00117E03" w:rsidP="00117E03">
      <w:pPr>
        <w:bidi/>
        <w:spacing w:after="0" w:line="480" w:lineRule="auto"/>
        <w:rPr>
          <w:rFonts w:ascii="Times New Roman" w:hAnsi="Times New Roman" w:cs="Times New Roman"/>
          <w:sz w:val="24"/>
          <w:szCs w:val="24"/>
        </w:rPr>
      </w:pPr>
    </w:p>
    <w:p w:rsidR="00117E03" w:rsidRPr="00DA0DE2" w:rsidRDefault="00117E03" w:rsidP="00117E03">
      <w:pPr>
        <w:spacing w:after="0" w:line="480" w:lineRule="auto"/>
        <w:rPr>
          <w:rFonts w:ascii="Times New Roman" w:hAnsi="Times New Roman" w:cs="Times New Roman"/>
          <w:sz w:val="24"/>
          <w:szCs w:val="24"/>
          <w:rtl/>
        </w:rPr>
      </w:pPr>
      <w:r w:rsidRPr="00DA0DE2">
        <w:rPr>
          <w:rFonts w:ascii="Times New Roman" w:hAnsi="Times New Roman" w:cs="Times New Roman"/>
          <w:sz w:val="24"/>
          <w:szCs w:val="24"/>
        </w:rPr>
        <w:t xml:space="preserve">Al-Khinn, Mustafa Sa‘id. </w:t>
      </w:r>
      <w:r w:rsidRPr="003B0BFA">
        <w:rPr>
          <w:rFonts w:ascii="Times New Roman" w:hAnsi="Times New Roman" w:cs="Times New Roman"/>
          <w:i/>
          <w:iCs/>
          <w:sz w:val="24"/>
          <w:szCs w:val="24"/>
        </w:rPr>
        <w:t xml:space="preserve">’Athar </w:t>
      </w:r>
      <w:r w:rsidRPr="00DA0DE2">
        <w:rPr>
          <w:rFonts w:ascii="Times New Roman" w:hAnsi="Times New Roman" w:cs="Times New Roman"/>
          <w:i/>
          <w:iCs/>
          <w:sz w:val="24"/>
          <w:szCs w:val="24"/>
        </w:rPr>
        <w:t>al-Ikhtilaf fi al-Qawa‘id al-Usuliyya</w:t>
      </w:r>
      <w:r>
        <w:rPr>
          <w:rFonts w:ascii="Times New Roman" w:hAnsi="Times New Roman" w:cs="Times New Roman"/>
          <w:i/>
          <w:iCs/>
          <w:sz w:val="24"/>
          <w:szCs w:val="24"/>
        </w:rPr>
        <w:t>h</w:t>
      </w:r>
      <w:r w:rsidRPr="00DA0DE2">
        <w:rPr>
          <w:rFonts w:ascii="Times New Roman" w:hAnsi="Times New Roman" w:cs="Times New Roman"/>
          <w:i/>
          <w:iCs/>
          <w:sz w:val="24"/>
          <w:szCs w:val="24"/>
        </w:rPr>
        <w:t xml:space="preserve"> fi Ikhtilaf al-Fuqaha’</w:t>
      </w:r>
      <w:r w:rsidRPr="00DA0DE2">
        <w:rPr>
          <w:rFonts w:ascii="Times New Roman" w:hAnsi="Times New Roman" w:cs="Times New Roman"/>
          <w:sz w:val="24"/>
          <w:szCs w:val="24"/>
        </w:rPr>
        <w:t>. Beirut: Mu’assasat al-Risala</w:t>
      </w:r>
      <w:r>
        <w:rPr>
          <w:rFonts w:ascii="Times New Roman" w:hAnsi="Times New Roman" w:cs="Times New Roman"/>
          <w:sz w:val="24"/>
          <w:szCs w:val="24"/>
        </w:rPr>
        <w:t>h</w:t>
      </w:r>
      <w:r w:rsidRPr="00DA0DE2">
        <w:rPr>
          <w:rFonts w:ascii="Times New Roman" w:hAnsi="Times New Roman" w:cs="Times New Roman"/>
          <w:sz w:val="24"/>
          <w:szCs w:val="24"/>
        </w:rPr>
        <w:t>, 1972, 643</w:t>
      </w:r>
      <w:r>
        <w:rPr>
          <w:rFonts w:ascii="Times New Roman" w:hAnsi="Times New Roman" w:cs="Times New Roman"/>
          <w:sz w:val="24"/>
          <w:szCs w:val="24"/>
        </w:rPr>
        <w:t>pp</w:t>
      </w:r>
      <w:r w:rsidRPr="00DA0DE2">
        <w:rPr>
          <w:rFonts w:ascii="Times New Roman" w:hAnsi="Times New Roman" w:cs="Times New Roman"/>
          <w:sz w:val="24"/>
          <w:szCs w:val="24"/>
        </w:rPr>
        <w:t>.</w:t>
      </w:r>
    </w:p>
    <w:p w:rsidR="002D4CF3" w:rsidRPr="003421A9" w:rsidRDefault="002D4CF3" w:rsidP="002D4CF3">
      <w:pPr>
        <w:spacing w:after="0" w:line="480" w:lineRule="auto"/>
        <w:rPr>
          <w:rFonts w:ascii="Times New Roman" w:hAnsi="Times New Roman" w:cs="Times New Roman"/>
          <w:sz w:val="24"/>
          <w:szCs w:val="24"/>
          <w:rtl/>
          <w:lang w:val="tr-TR" w:eastAsia="ar-SA"/>
        </w:rPr>
      </w:pPr>
    </w:p>
    <w:p w:rsidR="002D4CF3" w:rsidRPr="00F31DD3" w:rsidRDefault="002D4CF3" w:rsidP="002D4CF3">
      <w:pPr>
        <w:spacing w:after="0" w:line="480" w:lineRule="auto"/>
        <w:jc w:val="center"/>
        <w:rPr>
          <w:rFonts w:ascii="Times New Roman" w:hAnsi="Times New Roman" w:cs="Times New Roman"/>
          <w:b/>
          <w:bCs/>
          <w:sz w:val="24"/>
          <w:szCs w:val="24"/>
          <w:lang w:val="tr-TR"/>
        </w:rPr>
      </w:pPr>
      <w:bookmarkStart w:id="0" w:name="_GoBack"/>
      <w:r w:rsidRPr="00F31DD3">
        <w:rPr>
          <w:rFonts w:ascii="Times New Roman" w:hAnsi="Times New Roman" w:cs="Times New Roman"/>
          <w:b/>
          <w:bCs/>
          <w:sz w:val="24"/>
          <w:szCs w:val="24"/>
          <w:lang w:val="tr-TR"/>
        </w:rPr>
        <w:t>ABSTRACT</w:t>
      </w:r>
    </w:p>
    <w:bookmarkEnd w:id="0"/>
    <w:p w:rsidR="002D4CF3" w:rsidRPr="003421A9" w:rsidRDefault="002D4CF3" w:rsidP="002D4CF3">
      <w:pPr>
        <w:spacing w:after="0" w:line="480" w:lineRule="auto"/>
        <w:jc w:val="center"/>
        <w:rPr>
          <w:rFonts w:ascii="Times New Roman" w:hAnsi="Times New Roman" w:cs="Times New Roman"/>
          <w:sz w:val="24"/>
          <w:szCs w:val="24"/>
          <w:lang w:val="tr-TR"/>
        </w:rPr>
      </w:pPr>
    </w:p>
    <w:p w:rsidR="002D4CF3" w:rsidRPr="003421A9" w:rsidRDefault="002D4CF3" w:rsidP="002D4CF3">
      <w:pPr>
        <w:bidi/>
        <w:spacing w:after="0" w:line="480" w:lineRule="auto"/>
        <w:jc w:val="center"/>
        <w:rPr>
          <w:rFonts w:ascii="Times New Roman" w:hAnsi="Times New Roman" w:cs="Times New Roman"/>
          <w:b/>
          <w:bCs/>
          <w:sz w:val="24"/>
          <w:szCs w:val="24"/>
          <w:rtl/>
          <w:lang w:eastAsia="en-GB"/>
        </w:rPr>
      </w:pPr>
      <w:r w:rsidRPr="003421A9">
        <w:rPr>
          <w:rFonts w:ascii="Times New Roman" w:hAnsi="Times New Roman" w:cs="Times New Roman"/>
          <w:b/>
          <w:bCs/>
          <w:sz w:val="24"/>
          <w:szCs w:val="24"/>
          <w:lang w:eastAsia="en-GB"/>
        </w:rPr>
        <w:t>The Different Principles of Jurisprudence Formulated by Various Legal Scholars and their Legacy</w:t>
      </w:r>
    </w:p>
    <w:p w:rsidR="002D4CF3" w:rsidRPr="003421A9" w:rsidRDefault="002D4CF3" w:rsidP="002D4CF3">
      <w:pPr>
        <w:spacing w:after="0" w:line="480" w:lineRule="auto"/>
        <w:jc w:val="center"/>
        <w:rPr>
          <w:rFonts w:ascii="Times New Roman" w:hAnsi="Times New Roman" w:cs="Times New Roman"/>
          <w:sz w:val="24"/>
          <w:szCs w:val="24"/>
          <w:rtl/>
          <w:lang w:val="tr-TR" w:eastAsia="ar-SA"/>
        </w:rPr>
      </w:pPr>
    </w:p>
    <w:p w:rsidR="002D4CF3" w:rsidRPr="000A78A4" w:rsidRDefault="002D4CF3" w:rsidP="002D4CF3">
      <w:pPr>
        <w:bidi/>
        <w:spacing w:after="0" w:line="480" w:lineRule="auto"/>
        <w:jc w:val="center"/>
        <w:rPr>
          <w:rFonts w:ascii="Times New Roman" w:hAnsi="Times New Roman" w:cs="Times New Roman"/>
          <w:i/>
          <w:iCs/>
          <w:sz w:val="24"/>
          <w:szCs w:val="24"/>
          <w:rtl/>
          <w:lang w:val="tr-TR" w:eastAsia="ar-SA"/>
        </w:rPr>
      </w:pPr>
      <w:r w:rsidRPr="000A78A4">
        <w:rPr>
          <w:rFonts w:ascii="Times New Roman" w:hAnsi="Times New Roman" w:cs="Times New Roman"/>
          <w:i/>
          <w:iCs/>
          <w:sz w:val="24"/>
          <w:szCs w:val="24"/>
          <w:rtl/>
          <w:lang w:val="tr-TR" w:eastAsia="ar-SA"/>
        </w:rPr>
        <w:t>أثر الاختلاف في القواعد الأصولية في اختلاف الفقهاء</w:t>
      </w:r>
    </w:p>
    <w:p w:rsidR="002D4CF3" w:rsidRPr="003421A9" w:rsidRDefault="002D4CF3" w:rsidP="002D4CF3">
      <w:pPr>
        <w:spacing w:after="0" w:line="480" w:lineRule="auto"/>
        <w:rPr>
          <w:rFonts w:ascii="Times New Roman" w:hAnsi="Times New Roman" w:cs="Times New Roman"/>
          <w:sz w:val="24"/>
          <w:szCs w:val="24"/>
          <w:rtl/>
          <w:lang w:val="tr-TR" w:eastAsia="ar-SA"/>
        </w:rPr>
      </w:pPr>
    </w:p>
    <w:p w:rsidR="002D4CF3" w:rsidRPr="003421A9" w:rsidRDefault="002D4CF3" w:rsidP="002D4CF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Originally Mustafa Sa‘id al-Khinn’s dissertation on </w:t>
      </w:r>
      <w:r w:rsidRPr="003421A9">
        <w:rPr>
          <w:rFonts w:ascii="Times New Roman" w:hAnsi="Times New Roman" w:cs="Times New Roman"/>
          <w:i/>
          <w:iCs/>
          <w:sz w:val="24"/>
          <w:szCs w:val="24"/>
        </w:rPr>
        <w:t>Ushul al-Fiqh</w:t>
      </w:r>
      <w:r w:rsidRPr="003421A9">
        <w:rPr>
          <w:rFonts w:ascii="Times New Roman" w:hAnsi="Times New Roman" w:cs="Times New Roman"/>
          <w:sz w:val="24"/>
          <w:szCs w:val="24"/>
        </w:rPr>
        <w:t xml:space="preserve"> (the principles of Islamic law) submitted to al-Azhar University, this book elaborates on the usage of different legal maxims and methodology which result in different rulings among classical Islamic schools of law (</w:t>
      </w:r>
      <w:r w:rsidRPr="003421A9">
        <w:rPr>
          <w:rFonts w:ascii="Times New Roman" w:hAnsi="Times New Roman" w:cs="Times New Roman"/>
          <w:i/>
          <w:iCs/>
          <w:sz w:val="24"/>
          <w:szCs w:val="24"/>
        </w:rPr>
        <w:t>madzhab</w:t>
      </w:r>
      <w:r w:rsidRPr="003421A9">
        <w:rPr>
          <w:rFonts w:ascii="Times New Roman" w:hAnsi="Times New Roman" w:cs="Times New Roman"/>
          <w:sz w:val="24"/>
          <w:szCs w:val="24"/>
        </w:rPr>
        <w:t xml:space="preserve">). The book presents rulings of four predominant Sunni </w:t>
      </w:r>
      <w:r w:rsidRPr="003421A9">
        <w:rPr>
          <w:rFonts w:ascii="Times New Roman" w:hAnsi="Times New Roman" w:cs="Times New Roman"/>
          <w:i/>
          <w:iCs/>
          <w:sz w:val="24"/>
          <w:szCs w:val="24"/>
        </w:rPr>
        <w:t>madzhab</w:t>
      </w:r>
      <w:r w:rsidRPr="003421A9">
        <w:rPr>
          <w:rFonts w:ascii="Times New Roman" w:hAnsi="Times New Roman" w:cs="Times New Roman"/>
          <w:sz w:val="24"/>
          <w:szCs w:val="24"/>
        </w:rPr>
        <w:t xml:space="preserve">, which are widely adhered to and studied in the Muslim world. </w:t>
      </w:r>
    </w:p>
    <w:p w:rsidR="002D4CF3" w:rsidRPr="003421A9" w:rsidRDefault="002D4CF3" w:rsidP="002D4CF3">
      <w:pPr>
        <w:spacing w:after="0" w:line="480" w:lineRule="auto"/>
        <w:jc w:val="both"/>
        <w:rPr>
          <w:rFonts w:ascii="Times New Roman" w:hAnsi="Times New Roman" w:cs="Times New Roman"/>
          <w:sz w:val="24"/>
          <w:szCs w:val="24"/>
        </w:rPr>
      </w:pPr>
    </w:p>
    <w:p w:rsidR="002D4CF3" w:rsidRPr="003421A9" w:rsidRDefault="002D4CF3" w:rsidP="002D4CF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book has six chapters, with an introduction, prologue and epilogue. In the introduction, al-Khinn expresses his bewilderment that despite the Qur’anic injunctions to live as one nation (</w:t>
      </w:r>
      <w:r w:rsidRPr="003421A9">
        <w:rPr>
          <w:rFonts w:ascii="Times New Roman" w:hAnsi="Times New Roman" w:cs="Times New Roman"/>
          <w:i/>
          <w:iCs/>
          <w:sz w:val="24"/>
          <w:szCs w:val="24"/>
        </w:rPr>
        <w:t>ummah</w:t>
      </w:r>
      <w:r w:rsidRPr="003421A9">
        <w:rPr>
          <w:rFonts w:ascii="Times New Roman" w:hAnsi="Times New Roman" w:cs="Times New Roman"/>
          <w:sz w:val="24"/>
          <w:szCs w:val="24"/>
        </w:rPr>
        <w:t>)</w:t>
      </w:r>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 xml:space="preserve">under one holy book, Muslims still adhere to various opinions of </w:t>
      </w:r>
      <w:r w:rsidRPr="003421A9">
        <w:rPr>
          <w:rFonts w:ascii="Times New Roman" w:hAnsi="Times New Roman" w:cs="Times New Roman"/>
          <w:i/>
          <w:iCs/>
          <w:sz w:val="24"/>
          <w:szCs w:val="24"/>
        </w:rPr>
        <w:t>madzhab</w:t>
      </w:r>
      <w:r w:rsidRPr="003421A9">
        <w:rPr>
          <w:rFonts w:ascii="Times New Roman" w:hAnsi="Times New Roman" w:cs="Times New Roman"/>
          <w:sz w:val="24"/>
          <w:szCs w:val="24"/>
        </w:rPr>
        <w:t xml:space="preserve">. After years of study, al-Khinn has realised that the differences are only the means of deducing the law from its source (p. 8). In the prologue, he explains the sources and legislation of Islamic law during the time of the Prophet, and enumerates seven important </w:t>
      </w:r>
      <w:r w:rsidRPr="003421A9">
        <w:rPr>
          <w:rFonts w:ascii="Times New Roman" w:hAnsi="Times New Roman" w:cs="Times New Roman"/>
          <w:sz w:val="24"/>
          <w:szCs w:val="24"/>
        </w:rPr>
        <w:lastRenderedPageBreak/>
        <w:t xml:space="preserve">factors that generate differences of opinion. To be able to deduce the law from its textual source, the </w:t>
      </w:r>
      <w:r w:rsidRPr="003421A9">
        <w:rPr>
          <w:rFonts w:ascii="Times New Roman" w:hAnsi="Times New Roman" w:cs="Times New Roman"/>
          <w:i/>
          <w:sz w:val="24"/>
          <w:szCs w:val="24"/>
        </w:rPr>
        <w:t>‘</w:t>
      </w:r>
      <w:r w:rsidRPr="003421A9">
        <w:rPr>
          <w:rFonts w:ascii="Times New Roman" w:hAnsi="Times New Roman" w:cs="Times New Roman"/>
          <w:i/>
          <w:iCs/>
          <w:sz w:val="24"/>
          <w:szCs w:val="24"/>
        </w:rPr>
        <w:t>ulama’</w:t>
      </w:r>
      <w:r w:rsidRPr="003421A9">
        <w:rPr>
          <w:rFonts w:ascii="Times New Roman" w:hAnsi="Times New Roman" w:cs="Times New Roman"/>
          <w:sz w:val="24"/>
          <w:szCs w:val="24"/>
        </w:rPr>
        <w:t xml:space="preserve"> must understand the words of the text and their precise implications. Therefore, chapters one and two discuss in great length </w:t>
      </w:r>
      <w:r w:rsidRPr="003421A9">
        <w:rPr>
          <w:rFonts w:ascii="Times New Roman" w:hAnsi="Times New Roman" w:cs="Times New Roman"/>
          <w:i/>
          <w:iCs/>
          <w:sz w:val="24"/>
          <w:szCs w:val="24"/>
        </w:rPr>
        <w:t xml:space="preserve">dilalat al-alfadz </w:t>
      </w:r>
      <w:r w:rsidRPr="003421A9">
        <w:rPr>
          <w:rFonts w:ascii="Times New Roman" w:hAnsi="Times New Roman" w:cs="Times New Roman"/>
          <w:sz w:val="24"/>
          <w:szCs w:val="24"/>
        </w:rPr>
        <w:t xml:space="preserve">(textual implications), while chapter three is concerned with </w:t>
      </w:r>
      <w:r w:rsidRPr="003421A9">
        <w:rPr>
          <w:rFonts w:ascii="Times New Roman" w:hAnsi="Times New Roman" w:cs="Times New Roman"/>
          <w:i/>
          <w:iCs/>
          <w:sz w:val="24"/>
          <w:szCs w:val="24"/>
        </w:rPr>
        <w:t xml:space="preserve">amr </w:t>
      </w:r>
      <w:r w:rsidRPr="003421A9">
        <w:rPr>
          <w:rFonts w:ascii="Times New Roman" w:hAnsi="Times New Roman" w:cs="Times New Roman"/>
          <w:sz w:val="24"/>
          <w:szCs w:val="24"/>
        </w:rPr>
        <w:t xml:space="preserve">(obligation or recommendation) and </w:t>
      </w:r>
      <w:r w:rsidRPr="003421A9">
        <w:rPr>
          <w:rFonts w:ascii="Times New Roman" w:hAnsi="Times New Roman" w:cs="Times New Roman"/>
          <w:i/>
          <w:iCs/>
          <w:sz w:val="24"/>
          <w:szCs w:val="24"/>
        </w:rPr>
        <w:t>nahy</w:t>
      </w:r>
      <w:r w:rsidRPr="003421A9">
        <w:rPr>
          <w:rFonts w:ascii="Times New Roman" w:hAnsi="Times New Roman" w:cs="Times New Roman"/>
          <w:sz w:val="24"/>
          <w:szCs w:val="24"/>
        </w:rPr>
        <w:t xml:space="preserve"> (prohibition or disapproval). The following chapters discuss legal sources (Qur’an, hadith, and </w:t>
      </w:r>
      <w:r w:rsidRPr="003421A9">
        <w:rPr>
          <w:rFonts w:ascii="Times New Roman" w:hAnsi="Times New Roman" w:cs="Times New Roman"/>
          <w:i/>
          <w:iCs/>
          <w:sz w:val="24"/>
          <w:szCs w:val="24"/>
        </w:rPr>
        <w:t>ijma‘</w:t>
      </w:r>
      <w:r w:rsidRPr="003421A9">
        <w:rPr>
          <w:rFonts w:ascii="Times New Roman" w:hAnsi="Times New Roman" w:cs="Times New Roman"/>
          <w:sz w:val="24"/>
          <w:szCs w:val="24"/>
        </w:rPr>
        <w:t xml:space="preserve">(consensus)), and rational methods of deducing laws, such as </w:t>
      </w:r>
      <w:r w:rsidRPr="003421A9">
        <w:rPr>
          <w:rFonts w:ascii="Times New Roman" w:hAnsi="Times New Roman" w:cs="Times New Roman"/>
          <w:i/>
          <w:iCs/>
          <w:sz w:val="24"/>
          <w:szCs w:val="24"/>
        </w:rPr>
        <w:t>istihsan</w:t>
      </w:r>
      <w:r w:rsidRPr="003421A9">
        <w:rPr>
          <w:rFonts w:ascii="Times New Roman" w:hAnsi="Times New Roman" w:cs="Times New Roman"/>
          <w:sz w:val="24"/>
          <w:szCs w:val="24"/>
        </w:rPr>
        <w:t xml:space="preserve"> (discretion or juristic preference), </w:t>
      </w:r>
      <w:r w:rsidRPr="003421A9">
        <w:rPr>
          <w:rFonts w:ascii="Times New Roman" w:hAnsi="Times New Roman" w:cs="Times New Roman"/>
          <w:i/>
          <w:iCs/>
          <w:sz w:val="24"/>
          <w:szCs w:val="24"/>
        </w:rPr>
        <w:t>istishab</w:t>
      </w:r>
      <w:r w:rsidRPr="003421A9">
        <w:rPr>
          <w:rFonts w:ascii="Times New Roman" w:hAnsi="Times New Roman" w:cs="Times New Roman"/>
          <w:sz w:val="24"/>
          <w:szCs w:val="24"/>
        </w:rPr>
        <w:t xml:space="preserve"> (presumption used in absence of proof), and </w:t>
      </w:r>
      <w:r w:rsidRPr="003421A9">
        <w:rPr>
          <w:rFonts w:ascii="Times New Roman" w:hAnsi="Times New Roman" w:cs="Times New Roman"/>
          <w:i/>
          <w:iCs/>
          <w:sz w:val="24"/>
          <w:szCs w:val="24"/>
        </w:rPr>
        <w:t>maslahah al-mursalah</w:t>
      </w:r>
      <w:r w:rsidRPr="003421A9">
        <w:rPr>
          <w:rFonts w:ascii="Times New Roman" w:hAnsi="Times New Roman" w:cs="Times New Roman"/>
          <w:sz w:val="24"/>
          <w:szCs w:val="24"/>
        </w:rPr>
        <w:t xml:space="preserve"> (consideration of public interest). </w:t>
      </w:r>
    </w:p>
    <w:p w:rsidR="002D4CF3" w:rsidRPr="003421A9" w:rsidRDefault="002D4CF3" w:rsidP="002D4CF3">
      <w:pPr>
        <w:spacing w:after="0" w:line="480" w:lineRule="auto"/>
        <w:jc w:val="both"/>
        <w:rPr>
          <w:rFonts w:ascii="Times New Roman" w:hAnsi="Times New Roman" w:cs="Times New Roman"/>
          <w:sz w:val="24"/>
          <w:szCs w:val="24"/>
        </w:rPr>
      </w:pPr>
    </w:p>
    <w:p w:rsidR="002D4CF3" w:rsidRPr="003421A9" w:rsidRDefault="002D4CF3" w:rsidP="002D4CF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Each chapter follows a similar pattern: after defining and explaining a certain legal terminology and method, al-Khinn provides examples of various legal cases; so, for instance, examples of the usage of </w:t>
      </w:r>
      <w:r w:rsidRPr="003421A9">
        <w:rPr>
          <w:rFonts w:ascii="Times New Roman" w:hAnsi="Times New Roman" w:cs="Times New Roman"/>
          <w:i/>
          <w:iCs/>
          <w:sz w:val="24"/>
          <w:szCs w:val="24"/>
        </w:rPr>
        <w:t>Mafhum Mukhalafah</w:t>
      </w:r>
      <w:r w:rsidRPr="003421A9">
        <w:rPr>
          <w:rFonts w:ascii="Times New Roman" w:hAnsi="Times New Roman" w:cs="Times New Roman"/>
          <w:sz w:val="24"/>
          <w:szCs w:val="24"/>
        </w:rPr>
        <w:t xml:space="preserve"> (divergent meaning) in deducing laws from a sacred text (pp. 184–190) include different rulings on interfaith-marriage, selling unpollinated dates, purity/impurity of unbelievers, reciting </w:t>
      </w:r>
      <w:r w:rsidRPr="003421A9">
        <w:rPr>
          <w:rFonts w:ascii="Times New Roman" w:hAnsi="Times New Roman" w:cs="Times New Roman"/>
          <w:i/>
          <w:iCs/>
          <w:sz w:val="24"/>
          <w:szCs w:val="24"/>
        </w:rPr>
        <w:t>takbir</w:t>
      </w:r>
      <w:r w:rsidRPr="003421A9">
        <w:rPr>
          <w:rFonts w:ascii="Times New Roman" w:hAnsi="Times New Roman" w:cs="Times New Roman"/>
          <w:sz w:val="24"/>
          <w:szCs w:val="24"/>
        </w:rPr>
        <w:t xml:space="preserve"> (saying “Allah</w:t>
      </w:r>
      <w:r>
        <w:rPr>
          <w:rFonts w:ascii="Times New Roman" w:hAnsi="Times New Roman" w:cs="Times New Roman"/>
          <w:sz w:val="24"/>
          <w:szCs w:val="24"/>
        </w:rPr>
        <w:t>-u</w:t>
      </w:r>
      <w:r w:rsidRPr="003421A9">
        <w:rPr>
          <w:rFonts w:ascii="Times New Roman" w:hAnsi="Times New Roman" w:cs="Times New Roman"/>
          <w:sz w:val="24"/>
          <w:szCs w:val="24"/>
        </w:rPr>
        <w:t xml:space="preserve"> Akbar”) when beginning prayer, forced marriages, and marriage proposals. In the epilogue, the treatment pattern is reversed; a single case on the availability of a guardian as a prerequisite for marriage, for instance, is an example of the application of different rules of interpretation and methods, such as </w:t>
      </w:r>
      <w:r w:rsidRPr="003421A9">
        <w:rPr>
          <w:rFonts w:ascii="Times New Roman" w:hAnsi="Times New Roman" w:cs="Times New Roman"/>
          <w:i/>
          <w:iCs/>
          <w:sz w:val="24"/>
          <w:szCs w:val="24"/>
        </w:rPr>
        <w:t>Mujmal</w:t>
      </w:r>
      <w:r w:rsidRPr="003421A9">
        <w:rPr>
          <w:rFonts w:ascii="Times New Roman" w:hAnsi="Times New Roman" w:cs="Times New Roman"/>
          <w:sz w:val="24"/>
          <w:szCs w:val="24"/>
        </w:rPr>
        <w:t xml:space="preserve"> (having equal possibilities),</w:t>
      </w:r>
      <w:r w:rsidRPr="003421A9">
        <w:rPr>
          <w:rFonts w:ascii="Times New Roman" w:hAnsi="Times New Roman" w:cs="Times New Roman"/>
          <w:i/>
          <w:iCs/>
          <w:sz w:val="24"/>
          <w:szCs w:val="24"/>
        </w:rPr>
        <w:t xml:space="preserve"> Iqtidha al-Nass </w:t>
      </w:r>
      <w:r w:rsidRPr="003421A9">
        <w:rPr>
          <w:rFonts w:ascii="Times New Roman" w:hAnsi="Times New Roman" w:cs="Times New Roman"/>
          <w:sz w:val="24"/>
          <w:szCs w:val="24"/>
        </w:rPr>
        <w:t xml:space="preserve">(requiring meaning), </w:t>
      </w:r>
      <w:r w:rsidRPr="003421A9">
        <w:rPr>
          <w:rFonts w:ascii="Times New Roman" w:hAnsi="Times New Roman" w:cs="Times New Roman"/>
          <w:i/>
          <w:iCs/>
          <w:sz w:val="24"/>
          <w:szCs w:val="24"/>
        </w:rPr>
        <w:t xml:space="preserve">‘Amm </w:t>
      </w:r>
      <w:r w:rsidRPr="003421A9">
        <w:rPr>
          <w:rFonts w:ascii="Times New Roman" w:hAnsi="Times New Roman" w:cs="Times New Roman"/>
          <w:sz w:val="24"/>
          <w:szCs w:val="24"/>
        </w:rPr>
        <w:t xml:space="preserve">(general), and </w:t>
      </w:r>
      <w:r w:rsidRPr="003421A9">
        <w:rPr>
          <w:rFonts w:ascii="Times New Roman" w:hAnsi="Times New Roman" w:cs="Times New Roman"/>
          <w:i/>
          <w:iCs/>
          <w:sz w:val="24"/>
          <w:szCs w:val="24"/>
        </w:rPr>
        <w:t>Ta‘arudh al-Adillah</w:t>
      </w:r>
      <w:r w:rsidRPr="003421A9">
        <w:rPr>
          <w:rFonts w:ascii="Times New Roman" w:hAnsi="Times New Roman" w:cs="Times New Roman"/>
          <w:sz w:val="24"/>
          <w:szCs w:val="24"/>
        </w:rPr>
        <w:t xml:space="preserve"> (conflict of evidence)</w:t>
      </w:r>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 xml:space="preserve">in inferring laws (pp. 574–577). The examples are derived from classical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books and presented to make clear how the </w:t>
      </w:r>
      <w:r w:rsidRPr="003421A9">
        <w:rPr>
          <w:rFonts w:ascii="Times New Roman" w:hAnsi="Times New Roman" w:cs="Times New Roman"/>
          <w:i/>
          <w:iCs/>
          <w:sz w:val="24"/>
          <w:szCs w:val="24"/>
        </w:rPr>
        <w:t>ulama</w:t>
      </w:r>
      <w:r w:rsidRPr="003421A9">
        <w:rPr>
          <w:rFonts w:ascii="Times New Roman" w:hAnsi="Times New Roman" w:cs="Times New Roman"/>
          <w:sz w:val="24"/>
          <w:szCs w:val="24"/>
        </w:rPr>
        <w:t xml:space="preserve"> utilise different legal maxims and doctrines and come to different rulings. </w:t>
      </w:r>
    </w:p>
    <w:p w:rsidR="002D4CF3" w:rsidRPr="003421A9" w:rsidRDefault="002D4CF3" w:rsidP="002D4CF3">
      <w:pPr>
        <w:spacing w:after="0" w:line="480" w:lineRule="auto"/>
        <w:jc w:val="both"/>
        <w:rPr>
          <w:rFonts w:ascii="Times New Roman" w:hAnsi="Times New Roman" w:cs="Times New Roman"/>
          <w:sz w:val="24"/>
          <w:szCs w:val="24"/>
        </w:rPr>
      </w:pPr>
    </w:p>
    <w:p w:rsidR="002D4CF3" w:rsidRPr="003421A9" w:rsidRDefault="002D4CF3" w:rsidP="002D4CF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In presenting examples of divergent rulings, al-Khinn avoids exercising </w:t>
      </w:r>
      <w:r w:rsidRPr="003421A9">
        <w:rPr>
          <w:rFonts w:ascii="Times New Roman" w:hAnsi="Times New Roman" w:cs="Times New Roman"/>
          <w:i/>
          <w:iCs/>
          <w:sz w:val="24"/>
          <w:szCs w:val="24"/>
        </w:rPr>
        <w:t xml:space="preserve">tarjih </w:t>
      </w:r>
      <w:r w:rsidRPr="003421A9">
        <w:rPr>
          <w:rFonts w:ascii="Times New Roman" w:hAnsi="Times New Roman" w:cs="Times New Roman"/>
          <w:sz w:val="24"/>
          <w:szCs w:val="24"/>
        </w:rPr>
        <w:t xml:space="preserve">(giving more weight to a particular opinion) and perceives </w:t>
      </w:r>
      <w:r w:rsidRPr="003421A9">
        <w:rPr>
          <w:rFonts w:ascii="Times New Roman" w:hAnsi="Times New Roman" w:cs="Times New Roman"/>
          <w:i/>
          <w:iCs/>
          <w:sz w:val="24"/>
          <w:szCs w:val="24"/>
        </w:rPr>
        <w:t xml:space="preserve">ikhtilaf </w:t>
      </w:r>
      <w:r w:rsidRPr="003421A9">
        <w:rPr>
          <w:rFonts w:ascii="Times New Roman" w:hAnsi="Times New Roman" w:cs="Times New Roman"/>
          <w:sz w:val="24"/>
          <w:szCs w:val="24"/>
        </w:rPr>
        <w:t xml:space="preserve">(juristic disagreement and diversity of opinion) permissible and indicative of a dynamic intellectualism in Islamic legal thought. </w:t>
      </w:r>
      <w:r w:rsidRPr="003421A9">
        <w:rPr>
          <w:rFonts w:ascii="Times New Roman" w:hAnsi="Times New Roman" w:cs="Times New Roman"/>
          <w:sz w:val="24"/>
          <w:szCs w:val="24"/>
        </w:rPr>
        <w:lastRenderedPageBreak/>
        <w:t xml:space="preserve">Since the focus of the book is on the rulings of classical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the reader will not find rulings on contemporary cases such as blood transfusion, cloning, or heart transplantation. </w:t>
      </w:r>
    </w:p>
    <w:p w:rsidR="002D4CF3" w:rsidRPr="003421A9" w:rsidRDefault="002D4CF3" w:rsidP="002D4CF3">
      <w:pPr>
        <w:spacing w:after="0" w:line="480" w:lineRule="auto"/>
        <w:jc w:val="both"/>
        <w:rPr>
          <w:rFonts w:ascii="Times New Roman" w:hAnsi="Times New Roman" w:cs="Times New Roman"/>
          <w:sz w:val="24"/>
          <w:szCs w:val="24"/>
        </w:rPr>
      </w:pPr>
    </w:p>
    <w:p w:rsidR="009A0E2D" w:rsidRDefault="002D4CF3" w:rsidP="002D4CF3">
      <w:pPr>
        <w:jc w:val="right"/>
      </w:pPr>
      <w:r w:rsidRPr="003421A9">
        <w:rPr>
          <w:rFonts w:ascii="Times New Roman" w:hAnsi="Times New Roman" w:cs="Times New Roman"/>
          <w:sz w:val="24"/>
          <w:szCs w:val="24"/>
        </w:rPr>
        <w:t>Raden Cecep Lukman Yasin</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DD"/>
    <w:rsid w:val="000071C0"/>
    <w:rsid w:val="00083E80"/>
    <w:rsid w:val="00117E03"/>
    <w:rsid w:val="002D4CF3"/>
    <w:rsid w:val="006C6B50"/>
    <w:rsid w:val="00791238"/>
    <w:rsid w:val="00F31DD3"/>
    <w:rsid w:val="00F442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F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F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3072</Characters>
  <Application>Microsoft Office Word</Application>
  <DocSecurity>0</DocSecurity>
  <Lines>25</Lines>
  <Paragraphs>7</Paragraphs>
  <ScaleCrop>false</ScaleCrop>
  <Company>Microsoft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2015-02-23T12:01:00Z</dcterms:created>
  <dcterms:modified xsi:type="dcterms:W3CDTF">2015-06-09T09:50:00Z</dcterms:modified>
</cp:coreProperties>
</file>