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41" w:rsidRPr="00F02741" w:rsidRDefault="00F02741" w:rsidP="002B5E87">
      <w:pPr>
        <w:bidi/>
        <w:spacing w:after="0" w:line="480" w:lineRule="auto"/>
        <w:rPr>
          <w:rFonts w:ascii="Times New Roman" w:hAnsi="Times New Roman" w:cs="Times New Roman"/>
          <w:sz w:val="24"/>
          <w:szCs w:val="24"/>
        </w:rPr>
      </w:pPr>
      <w:r w:rsidRPr="00F02741">
        <w:rPr>
          <w:rFonts w:ascii="Times New Roman" w:hAnsi="Times New Roman" w:cs="Times New Roman"/>
          <w:sz w:val="24"/>
          <w:szCs w:val="24"/>
          <w:rtl/>
          <w:lang w:val="sv-SE"/>
        </w:rPr>
        <w:t>فاضل لن</w:t>
      </w:r>
      <w:r w:rsidR="002B5E87">
        <w:rPr>
          <w:rFonts w:ascii="Times New Roman" w:hAnsi="Times New Roman" w:cs="Times New Roman" w:hint="cs"/>
          <w:sz w:val="24"/>
          <w:szCs w:val="24"/>
          <w:rtl/>
          <w:lang w:val="sv-SE" w:bidi="ar-SY"/>
        </w:rPr>
        <w:t>ك</w:t>
      </w:r>
      <w:r w:rsidRPr="00F02741">
        <w:rPr>
          <w:rFonts w:ascii="Times New Roman" w:hAnsi="Times New Roman" w:cs="Times New Roman"/>
          <w:sz w:val="24"/>
          <w:szCs w:val="24"/>
          <w:rtl/>
          <w:lang w:val="sv-SE"/>
        </w:rPr>
        <w:t xml:space="preserve">رانی، محمد. </w:t>
      </w:r>
      <w:r w:rsidR="002B5E87" w:rsidRPr="002B5E87">
        <w:rPr>
          <w:rFonts w:ascii="Times New Roman" w:hAnsi="Times New Roman" w:cs="Times New Roman"/>
          <w:i/>
          <w:iCs/>
          <w:sz w:val="24"/>
          <w:szCs w:val="24"/>
          <w:rtl/>
          <w:lang w:val="sv-SE"/>
        </w:rPr>
        <w:t>رسالۀ احکام برای نوجوانان</w:t>
      </w:r>
      <w:r w:rsidRPr="00F02741">
        <w:rPr>
          <w:rFonts w:ascii="Times New Roman" w:hAnsi="Times New Roman" w:cs="Times New Roman"/>
          <w:sz w:val="24"/>
          <w:szCs w:val="24"/>
          <w:rtl/>
          <w:lang w:val="sv-SE"/>
        </w:rPr>
        <w:t xml:space="preserve">. قم: </w:t>
      </w:r>
      <w:r w:rsidRPr="00F02741">
        <w:rPr>
          <w:rFonts w:ascii="Times New Roman" w:hAnsi="Times New Roman" w:cs="Times New Roman"/>
          <w:sz w:val="24"/>
          <w:szCs w:val="24"/>
          <w:rtl/>
          <w:lang w:val="sv-SE" w:bidi="fa-IR"/>
        </w:rPr>
        <w:t>۲۰۰۰، ۲۱۶</w:t>
      </w:r>
      <w:r w:rsidRPr="00F02741">
        <w:rPr>
          <w:rFonts w:ascii="Times New Roman" w:hAnsi="Times New Roman" w:cs="Times New Roman"/>
          <w:sz w:val="24"/>
          <w:szCs w:val="24"/>
          <w:rtl/>
          <w:lang w:bidi="ar-SY"/>
        </w:rPr>
        <w:t xml:space="preserve"> </w:t>
      </w:r>
      <w:r w:rsidRPr="00F02741">
        <w:rPr>
          <w:rFonts w:ascii="Times New Roman" w:hAnsi="Times New Roman" w:cs="Times New Roman"/>
          <w:sz w:val="24"/>
          <w:szCs w:val="24"/>
          <w:rtl/>
          <w:lang w:val="sv-SE"/>
        </w:rPr>
        <w:t>ص.</w:t>
      </w:r>
    </w:p>
    <w:p w:rsidR="00F02741" w:rsidRPr="00F02741" w:rsidRDefault="00F02741" w:rsidP="00F02741">
      <w:pPr>
        <w:bidi/>
        <w:spacing w:after="0" w:line="480" w:lineRule="auto"/>
        <w:rPr>
          <w:rFonts w:ascii="Times New Roman" w:hAnsi="Times New Roman" w:cs="Times New Roman"/>
          <w:sz w:val="24"/>
          <w:szCs w:val="24"/>
        </w:rPr>
      </w:pPr>
    </w:p>
    <w:p w:rsidR="00F02741" w:rsidRPr="00F02741" w:rsidRDefault="00F02741" w:rsidP="002B5E87">
      <w:pPr>
        <w:spacing w:after="0" w:line="480" w:lineRule="auto"/>
        <w:rPr>
          <w:rFonts w:ascii="Times New Roman" w:hAnsi="Times New Roman" w:cs="Times New Roman"/>
          <w:sz w:val="24"/>
          <w:szCs w:val="24"/>
        </w:rPr>
      </w:pPr>
      <w:proofErr w:type="spellStart"/>
      <w:r w:rsidRPr="00F02741">
        <w:rPr>
          <w:rFonts w:ascii="Times New Roman" w:hAnsi="Times New Roman" w:cs="Times New Roman"/>
          <w:sz w:val="24"/>
          <w:szCs w:val="24"/>
        </w:rPr>
        <w:t>Fazil</w:t>
      </w:r>
      <w:proofErr w:type="spellEnd"/>
      <w:r w:rsidRPr="00F02741">
        <w:rPr>
          <w:rFonts w:ascii="Times New Roman" w:hAnsi="Times New Roman" w:cs="Times New Roman"/>
          <w:sz w:val="24"/>
          <w:szCs w:val="24"/>
        </w:rPr>
        <w:t xml:space="preserve"> </w:t>
      </w:r>
      <w:proofErr w:type="spellStart"/>
      <w:r w:rsidRPr="00F02741">
        <w:rPr>
          <w:rFonts w:ascii="Times New Roman" w:hAnsi="Times New Roman" w:cs="Times New Roman"/>
          <w:sz w:val="24"/>
          <w:szCs w:val="24"/>
        </w:rPr>
        <w:t>Lankarani</w:t>
      </w:r>
      <w:proofErr w:type="spellEnd"/>
      <w:r w:rsidRPr="00F02741">
        <w:rPr>
          <w:rFonts w:ascii="Times New Roman" w:hAnsi="Times New Roman" w:cs="Times New Roman"/>
          <w:sz w:val="24"/>
          <w:szCs w:val="24"/>
        </w:rPr>
        <w:t xml:space="preserve">, Muhammad. </w:t>
      </w:r>
      <w:proofErr w:type="spellStart"/>
      <w:proofErr w:type="gramStart"/>
      <w:r w:rsidRPr="00F02741">
        <w:rPr>
          <w:rFonts w:ascii="Times New Roman" w:hAnsi="Times New Roman" w:cs="Times New Roman"/>
          <w:i/>
          <w:iCs/>
          <w:sz w:val="24"/>
          <w:szCs w:val="24"/>
        </w:rPr>
        <w:t>Risalah-i</w:t>
      </w:r>
      <w:proofErr w:type="spellEnd"/>
      <w:r w:rsidRPr="00F02741">
        <w:rPr>
          <w:rFonts w:ascii="Times New Roman" w:hAnsi="Times New Roman" w:cs="Times New Roman"/>
          <w:i/>
          <w:iCs/>
          <w:sz w:val="24"/>
          <w:szCs w:val="24"/>
        </w:rPr>
        <w:t xml:space="preserve"> </w:t>
      </w:r>
      <w:proofErr w:type="spellStart"/>
      <w:r w:rsidRPr="00F02741">
        <w:rPr>
          <w:rFonts w:ascii="Times New Roman" w:hAnsi="Times New Roman" w:cs="Times New Roman"/>
          <w:i/>
          <w:iCs/>
          <w:sz w:val="24"/>
          <w:szCs w:val="24"/>
        </w:rPr>
        <w:t>Ahkam</w:t>
      </w:r>
      <w:proofErr w:type="spellEnd"/>
      <w:r w:rsidRPr="00F02741">
        <w:rPr>
          <w:rFonts w:ascii="Times New Roman" w:hAnsi="Times New Roman" w:cs="Times New Roman"/>
          <w:i/>
          <w:iCs/>
          <w:sz w:val="24"/>
          <w:szCs w:val="24"/>
        </w:rPr>
        <w:t xml:space="preserve"> </w:t>
      </w:r>
      <w:proofErr w:type="spellStart"/>
      <w:r w:rsidR="002B5E87">
        <w:rPr>
          <w:rFonts w:ascii="Times New Roman" w:hAnsi="Times New Roman" w:cs="Times New Roman"/>
          <w:i/>
          <w:iCs/>
          <w:sz w:val="24"/>
          <w:szCs w:val="24"/>
        </w:rPr>
        <w:t>B</w:t>
      </w:r>
      <w:r w:rsidRPr="00F02741">
        <w:rPr>
          <w:rFonts w:ascii="Times New Roman" w:hAnsi="Times New Roman" w:cs="Times New Roman"/>
          <w:i/>
          <w:iCs/>
          <w:sz w:val="24"/>
          <w:szCs w:val="24"/>
        </w:rPr>
        <w:t>arayi</w:t>
      </w:r>
      <w:proofErr w:type="spellEnd"/>
      <w:r w:rsidRPr="00F02741">
        <w:rPr>
          <w:rFonts w:ascii="Times New Roman" w:hAnsi="Times New Roman" w:cs="Times New Roman"/>
          <w:i/>
          <w:iCs/>
          <w:sz w:val="24"/>
          <w:szCs w:val="24"/>
        </w:rPr>
        <w:t xml:space="preserve"> </w:t>
      </w:r>
      <w:proofErr w:type="spellStart"/>
      <w:r w:rsidRPr="00F02741">
        <w:rPr>
          <w:rFonts w:ascii="Times New Roman" w:hAnsi="Times New Roman" w:cs="Times New Roman"/>
          <w:i/>
          <w:iCs/>
          <w:sz w:val="24"/>
          <w:szCs w:val="24"/>
        </w:rPr>
        <w:t>Nujavanan</w:t>
      </w:r>
      <w:proofErr w:type="spellEnd"/>
      <w:r w:rsidRPr="00F02741">
        <w:rPr>
          <w:rFonts w:ascii="Times New Roman" w:hAnsi="Times New Roman" w:cs="Times New Roman"/>
          <w:sz w:val="24"/>
          <w:szCs w:val="24"/>
        </w:rPr>
        <w:t>.</w:t>
      </w:r>
      <w:proofErr w:type="gramEnd"/>
      <w:r w:rsidR="005200C5">
        <w:rPr>
          <w:rFonts w:ascii="Times New Roman" w:hAnsi="Times New Roman" w:cs="Times New Roman"/>
          <w:sz w:val="24"/>
          <w:szCs w:val="24"/>
        </w:rPr>
        <w:t xml:space="preserve"> </w:t>
      </w:r>
      <w:r w:rsidRPr="00F02741">
        <w:rPr>
          <w:rFonts w:ascii="Times New Roman" w:hAnsi="Times New Roman" w:cs="Times New Roman"/>
          <w:sz w:val="24"/>
          <w:szCs w:val="24"/>
        </w:rPr>
        <w:t xml:space="preserve">Qum: </w:t>
      </w:r>
      <w:proofErr w:type="spellStart"/>
      <w:r w:rsidRPr="00F02741">
        <w:rPr>
          <w:rFonts w:ascii="Times New Roman" w:hAnsi="Times New Roman" w:cs="Times New Roman"/>
          <w:sz w:val="24"/>
          <w:szCs w:val="24"/>
        </w:rPr>
        <w:t>Ma</w:t>
      </w:r>
      <w:r w:rsidR="00601C0E">
        <w:rPr>
          <w:rFonts w:ascii="Times New Roman" w:hAnsi="Times New Roman" w:cs="Times New Roman"/>
          <w:sz w:val="24"/>
          <w:szCs w:val="24"/>
        </w:rPr>
        <w:t>t</w:t>
      </w:r>
      <w:r w:rsidRPr="00F02741">
        <w:rPr>
          <w:rFonts w:ascii="Times New Roman" w:hAnsi="Times New Roman" w:cs="Times New Roman"/>
          <w:sz w:val="24"/>
          <w:szCs w:val="24"/>
        </w:rPr>
        <w:t>bu‘ati-i</w:t>
      </w:r>
      <w:proofErr w:type="spellEnd"/>
      <w:r w:rsidRPr="00F02741">
        <w:rPr>
          <w:rFonts w:ascii="Times New Roman" w:hAnsi="Times New Roman" w:cs="Times New Roman"/>
          <w:sz w:val="24"/>
          <w:szCs w:val="24"/>
        </w:rPr>
        <w:t xml:space="preserve"> Amir, 2000, 216pp.</w:t>
      </w:r>
    </w:p>
    <w:p w:rsidR="007C7CA8" w:rsidRPr="003421A9" w:rsidRDefault="007C7CA8" w:rsidP="007C7CA8">
      <w:pPr>
        <w:spacing w:after="0" w:line="480" w:lineRule="auto"/>
        <w:rPr>
          <w:rFonts w:ascii="Times New Roman" w:hAnsi="Times New Roman" w:cs="Times New Roman"/>
          <w:sz w:val="24"/>
          <w:szCs w:val="24"/>
        </w:rPr>
      </w:pPr>
      <w:bookmarkStart w:id="0" w:name="_GoBack"/>
      <w:bookmarkEnd w:id="0"/>
    </w:p>
    <w:p w:rsidR="007C7CA8" w:rsidRPr="00F02741" w:rsidRDefault="007C7CA8" w:rsidP="007C7CA8">
      <w:pPr>
        <w:spacing w:after="0" w:line="480" w:lineRule="auto"/>
        <w:jc w:val="center"/>
        <w:rPr>
          <w:rFonts w:ascii="Times New Roman" w:hAnsi="Times New Roman" w:cs="Times New Roman"/>
          <w:b/>
          <w:bCs/>
          <w:sz w:val="24"/>
          <w:szCs w:val="24"/>
          <w:lang w:val="tr-TR"/>
        </w:rPr>
      </w:pPr>
      <w:r w:rsidRPr="00F02741">
        <w:rPr>
          <w:rFonts w:ascii="Times New Roman" w:hAnsi="Times New Roman" w:cs="Times New Roman"/>
          <w:b/>
          <w:bCs/>
          <w:sz w:val="24"/>
          <w:szCs w:val="24"/>
          <w:lang w:val="tr-TR"/>
        </w:rPr>
        <w:t>ABSTRACT</w:t>
      </w:r>
    </w:p>
    <w:p w:rsidR="007C7CA8" w:rsidRPr="003421A9" w:rsidRDefault="007C7CA8" w:rsidP="007C7CA8">
      <w:pPr>
        <w:spacing w:after="0" w:line="480" w:lineRule="auto"/>
        <w:jc w:val="center"/>
        <w:rPr>
          <w:rFonts w:ascii="Times New Roman" w:hAnsi="Times New Roman" w:cs="Times New Roman"/>
          <w:b/>
          <w:bCs/>
          <w:sz w:val="24"/>
          <w:szCs w:val="24"/>
          <w:lang w:val="tr-TR"/>
        </w:rPr>
      </w:pPr>
    </w:p>
    <w:p w:rsidR="007C7CA8" w:rsidRPr="003421A9" w:rsidRDefault="007C7CA8" w:rsidP="007C7CA8">
      <w:pPr>
        <w:spacing w:after="0" w:line="480" w:lineRule="auto"/>
        <w:jc w:val="center"/>
        <w:rPr>
          <w:rFonts w:ascii="Times New Roman" w:hAnsi="Times New Roman" w:cs="Times New Roman"/>
          <w:b/>
          <w:bCs/>
          <w:sz w:val="24"/>
          <w:szCs w:val="24"/>
          <w:lang w:val="tr-TR"/>
        </w:rPr>
      </w:pPr>
      <w:r w:rsidRPr="003421A9">
        <w:rPr>
          <w:rFonts w:ascii="Times New Roman" w:hAnsi="Times New Roman" w:cs="Times New Roman"/>
          <w:b/>
          <w:bCs/>
          <w:sz w:val="24"/>
          <w:szCs w:val="24"/>
          <w:lang w:val="tr-TR"/>
        </w:rPr>
        <w:t>Provisions Booklet for Young People</w:t>
      </w:r>
    </w:p>
    <w:p w:rsidR="007C7CA8" w:rsidRPr="003421A9" w:rsidRDefault="007C7CA8" w:rsidP="007C7CA8">
      <w:pPr>
        <w:spacing w:after="0" w:line="480" w:lineRule="auto"/>
        <w:jc w:val="center"/>
        <w:rPr>
          <w:rFonts w:ascii="Times New Roman" w:hAnsi="Times New Roman" w:cs="Times New Roman"/>
          <w:b/>
          <w:bCs/>
          <w:sz w:val="24"/>
          <w:szCs w:val="24"/>
        </w:rPr>
      </w:pPr>
    </w:p>
    <w:p w:rsidR="007C7CA8" w:rsidRDefault="002B5E87" w:rsidP="002B5E87">
      <w:pPr>
        <w:bidi/>
        <w:spacing w:after="0" w:line="480" w:lineRule="auto"/>
        <w:jc w:val="center"/>
        <w:rPr>
          <w:rFonts w:ascii="Times New Roman" w:hAnsi="Times New Roman" w:cs="Times New Roman"/>
          <w:i/>
          <w:iCs/>
          <w:sz w:val="24"/>
          <w:szCs w:val="24"/>
        </w:rPr>
      </w:pPr>
      <w:r w:rsidRPr="002B5E87">
        <w:rPr>
          <w:rFonts w:ascii="Times New Roman" w:hAnsi="Times New Roman" w:cs="Times New Roman"/>
          <w:i/>
          <w:iCs/>
          <w:sz w:val="24"/>
          <w:szCs w:val="24"/>
          <w:rtl/>
        </w:rPr>
        <w:t>رسالۀ احکام برای نوجوانان</w:t>
      </w:r>
    </w:p>
    <w:p w:rsidR="002B5E87" w:rsidRPr="003421A9" w:rsidRDefault="002B5E87" w:rsidP="002B5E87">
      <w:pPr>
        <w:bidi/>
        <w:spacing w:after="0" w:line="480" w:lineRule="auto"/>
        <w:jc w:val="center"/>
        <w:rPr>
          <w:rFonts w:ascii="Times New Roman" w:hAnsi="Times New Roman" w:cs="Times New Roman"/>
          <w:sz w:val="24"/>
          <w:szCs w:val="24"/>
          <w:lang w:val="tr-TR"/>
        </w:rPr>
      </w:pPr>
    </w:p>
    <w:p w:rsidR="007C7CA8" w:rsidRPr="003421A9" w:rsidRDefault="007C7CA8" w:rsidP="007C7CA8">
      <w:pPr>
        <w:pStyle w:val="Style-1"/>
        <w:spacing w:line="480" w:lineRule="auto"/>
        <w:jc w:val="both"/>
        <w:rPr>
          <w:i/>
          <w:iCs/>
          <w:color w:val="000000"/>
          <w:rtl/>
        </w:rPr>
      </w:pPr>
      <w:r w:rsidRPr="003421A9">
        <w:rPr>
          <w:color w:val="000000"/>
        </w:rPr>
        <w:t xml:space="preserve">This booklet provides a summary of the </w:t>
      </w:r>
      <w:r w:rsidRPr="003421A9">
        <w:rPr>
          <w:i/>
          <w:iCs/>
          <w:color w:val="000000"/>
        </w:rPr>
        <w:t>fatwas</w:t>
      </w:r>
      <w:r w:rsidRPr="003421A9">
        <w:rPr>
          <w:color w:val="000000"/>
        </w:rPr>
        <w:t xml:space="preserve"> of Ayatollah Muhammad </w:t>
      </w:r>
      <w:proofErr w:type="spellStart"/>
      <w:r w:rsidRPr="003421A9">
        <w:rPr>
          <w:color w:val="000000"/>
        </w:rPr>
        <w:t>Fazil</w:t>
      </w:r>
      <w:proofErr w:type="spellEnd"/>
      <w:r w:rsidRPr="003421A9">
        <w:rPr>
          <w:color w:val="000000"/>
        </w:rPr>
        <w:t xml:space="preserve"> </w:t>
      </w:r>
      <w:proofErr w:type="spellStart"/>
      <w:r w:rsidRPr="003421A9">
        <w:rPr>
          <w:color w:val="000000"/>
        </w:rPr>
        <w:t>Lankarani</w:t>
      </w:r>
      <w:proofErr w:type="spellEnd"/>
      <w:r w:rsidRPr="003421A9">
        <w:rPr>
          <w:color w:val="000000"/>
        </w:rPr>
        <w:t xml:space="preserve">, which were compiled for young people who had recently arrived at the age of maturity as established by Islamic law. The first 157 pages focus on the religious requirements for prayer, fasting, and cleansing including behaviours that invalidate them or raise doubts about their validity. The remainder of the text deals with the ethical principles regarding greeting others, eating, drinking, the slaughtering of animals, swearing, keeping items in trust, marriage, and those who are </w:t>
      </w:r>
      <w:r w:rsidRPr="003421A9">
        <w:rPr>
          <w:i/>
          <w:iCs/>
          <w:color w:val="000000"/>
        </w:rPr>
        <w:t xml:space="preserve">mahram </w:t>
      </w:r>
      <w:r w:rsidRPr="003421A9">
        <w:rPr>
          <w:color w:val="000000"/>
        </w:rPr>
        <w:t>(non-marriageable kin) or non-</w:t>
      </w:r>
      <w:r w:rsidRPr="003421A9">
        <w:rPr>
          <w:i/>
          <w:iCs/>
          <w:color w:val="000000"/>
        </w:rPr>
        <w:t>mahram.</w:t>
      </w:r>
    </w:p>
    <w:p w:rsidR="007C7CA8" w:rsidRPr="003421A9" w:rsidRDefault="007C7CA8" w:rsidP="007C7CA8">
      <w:pPr>
        <w:pStyle w:val="Style-1"/>
        <w:spacing w:line="480" w:lineRule="auto"/>
        <w:jc w:val="both"/>
        <w:rPr>
          <w:i/>
          <w:iCs/>
          <w:color w:val="000000"/>
        </w:rPr>
      </w:pPr>
    </w:p>
    <w:p w:rsidR="007C7CA8" w:rsidRPr="003421A9" w:rsidRDefault="007C7CA8" w:rsidP="007C7CA8">
      <w:pPr>
        <w:pStyle w:val="Style-1"/>
        <w:spacing w:line="480" w:lineRule="auto"/>
        <w:jc w:val="both"/>
        <w:rPr>
          <w:color w:val="000000"/>
          <w:rtl/>
        </w:rPr>
      </w:pPr>
      <w:r w:rsidRPr="003421A9">
        <w:rPr>
          <w:color w:val="000000"/>
        </w:rPr>
        <w:t xml:space="preserve">Although the purpose of the text is to make the </w:t>
      </w:r>
      <w:r w:rsidRPr="003421A9">
        <w:rPr>
          <w:i/>
          <w:color w:val="000000"/>
        </w:rPr>
        <w:t>fatwa</w:t>
      </w:r>
      <w:r w:rsidRPr="003421A9">
        <w:rPr>
          <w:color w:val="000000"/>
        </w:rPr>
        <w:t xml:space="preserve">s accessible to a new generation of readers, the content comprises selections from </w:t>
      </w:r>
      <w:proofErr w:type="spellStart"/>
      <w:r w:rsidRPr="003421A9">
        <w:rPr>
          <w:color w:val="000000"/>
        </w:rPr>
        <w:t>Lankarani’s</w:t>
      </w:r>
      <w:proofErr w:type="spellEnd"/>
      <w:r w:rsidRPr="003421A9">
        <w:rPr>
          <w:color w:val="000000"/>
        </w:rPr>
        <w:t xml:space="preserve"> explanation of issues and as such, the language has not been changed to address a modern audience. For example, when discussing a case in which someone mistakenly takes another person’s shoes, the writer assesses the value of the switched shoe to be 6.12 units of a silver coin (equivalent to one unit of the Islamic currency </w:t>
      </w:r>
      <w:r w:rsidRPr="003421A9">
        <w:rPr>
          <w:i/>
          <w:iCs/>
          <w:color w:val="000000"/>
        </w:rPr>
        <w:t>Dirham</w:t>
      </w:r>
      <w:r w:rsidRPr="003421A9">
        <w:rPr>
          <w:color w:val="000000"/>
        </w:rPr>
        <w:t xml:space="preserve">). In another example, he notes that the atonement for </w:t>
      </w:r>
      <w:r w:rsidRPr="003421A9">
        <w:rPr>
          <w:color w:val="000000"/>
        </w:rPr>
        <w:lastRenderedPageBreak/>
        <w:t>deliberately breaking a promise is to free a slave. Naturally, these issues are no longer relevant.</w:t>
      </w:r>
    </w:p>
    <w:p w:rsidR="007C7CA8" w:rsidRPr="003421A9" w:rsidRDefault="007C7CA8" w:rsidP="007C7CA8">
      <w:pPr>
        <w:pStyle w:val="Style-1"/>
        <w:spacing w:line="480" w:lineRule="auto"/>
        <w:jc w:val="both"/>
        <w:rPr>
          <w:color w:val="000000"/>
          <w:rtl/>
        </w:rPr>
      </w:pPr>
    </w:p>
    <w:p w:rsidR="007C7CA8" w:rsidRPr="003421A9" w:rsidRDefault="007C7CA8" w:rsidP="007C7CA8">
      <w:pPr>
        <w:pStyle w:val="Style-1"/>
        <w:spacing w:line="480" w:lineRule="auto"/>
        <w:jc w:val="both"/>
        <w:rPr>
          <w:color w:val="000000"/>
        </w:rPr>
      </w:pPr>
      <w:r w:rsidRPr="003421A9">
        <w:rPr>
          <w:color w:val="000000"/>
        </w:rPr>
        <w:t xml:space="preserve">The introduction of the book focuses on </w:t>
      </w:r>
      <w:proofErr w:type="spellStart"/>
      <w:r w:rsidRPr="003421A9">
        <w:rPr>
          <w:color w:val="000000"/>
        </w:rPr>
        <w:t>Lankarani’s</w:t>
      </w:r>
      <w:proofErr w:type="spellEnd"/>
      <w:r w:rsidRPr="003421A9">
        <w:rPr>
          <w:color w:val="000000"/>
        </w:rPr>
        <w:t xml:space="preserve"> biography and the difficulties he faced in fighting the Shah regime. This may add to a reader’s suspicion that the text is serving the function of propaganda. It is important to note that among Shia sources of emulation, and according to unwritten rules, the rank and dignity of a source of emulation is measured by the number of his emulators. </w:t>
      </w:r>
    </w:p>
    <w:p w:rsidR="007C7CA8" w:rsidRPr="003421A9" w:rsidRDefault="007C7CA8" w:rsidP="007C7CA8">
      <w:pPr>
        <w:pStyle w:val="Style-1"/>
        <w:spacing w:line="480" w:lineRule="auto"/>
        <w:rPr>
          <w:color w:val="000000"/>
        </w:rPr>
      </w:pPr>
    </w:p>
    <w:p w:rsidR="007C7CA8" w:rsidRPr="007B5A8B" w:rsidRDefault="007C7CA8" w:rsidP="007C7CA8">
      <w:pPr>
        <w:pStyle w:val="Style-1"/>
        <w:spacing w:line="480" w:lineRule="auto"/>
        <w:jc w:val="right"/>
        <w:rPr>
          <w:color w:val="000000"/>
        </w:rPr>
      </w:pPr>
      <w:proofErr w:type="spellStart"/>
      <w:r w:rsidRPr="007B5A8B">
        <w:rPr>
          <w:color w:val="000000"/>
        </w:rPr>
        <w:t>Iraj</w:t>
      </w:r>
      <w:proofErr w:type="spellEnd"/>
      <w:r w:rsidRPr="007B5A8B">
        <w:rPr>
          <w:color w:val="000000"/>
        </w:rPr>
        <w:t xml:space="preserve"> Esmailpour Ghouchani</w:t>
      </w:r>
    </w:p>
    <w:p w:rsidR="009A0E2D" w:rsidRPr="007C7CA8" w:rsidRDefault="007C7CA8" w:rsidP="007C7CA8">
      <w:pPr>
        <w:jc w:val="right"/>
        <w:rPr>
          <w:rFonts w:ascii="Times New Roman" w:eastAsia="Arial" w:hAnsi="Times New Roman" w:cs="Times New Roman"/>
          <w:color w:val="000000"/>
          <w:sz w:val="24"/>
          <w:szCs w:val="24"/>
          <w:lang w:eastAsia="ar-SA"/>
        </w:rPr>
      </w:pPr>
      <w:r w:rsidRPr="007C7CA8">
        <w:rPr>
          <w:rFonts w:ascii="Times New Roman" w:eastAsia="Arial" w:hAnsi="Times New Roman" w:cs="Times New Roman"/>
          <w:color w:val="000000"/>
          <w:sz w:val="24"/>
          <w:szCs w:val="24"/>
          <w:lang w:eastAsia="ar-SA"/>
        </w:rPr>
        <w:t xml:space="preserve">Translated by </w:t>
      </w:r>
      <w:proofErr w:type="spellStart"/>
      <w:r w:rsidRPr="007C7CA8">
        <w:rPr>
          <w:rFonts w:ascii="Times New Roman" w:eastAsia="Arial" w:hAnsi="Times New Roman" w:cs="Times New Roman"/>
          <w:color w:val="000000"/>
          <w:sz w:val="24"/>
          <w:szCs w:val="24"/>
          <w:lang w:eastAsia="ar-SA"/>
        </w:rPr>
        <w:t>Niki</w:t>
      </w:r>
      <w:proofErr w:type="spellEnd"/>
      <w:r w:rsidRPr="007C7CA8">
        <w:rPr>
          <w:rFonts w:ascii="Times New Roman" w:eastAsia="Arial" w:hAnsi="Times New Roman" w:cs="Times New Roman"/>
          <w:color w:val="000000"/>
          <w:sz w:val="24"/>
          <w:szCs w:val="24"/>
          <w:lang w:eastAsia="ar-SA"/>
        </w:rPr>
        <w:t xml:space="preserve"> </w:t>
      </w:r>
      <w:proofErr w:type="spellStart"/>
      <w:r w:rsidRPr="007C7CA8">
        <w:rPr>
          <w:rFonts w:ascii="Times New Roman" w:eastAsia="Arial" w:hAnsi="Times New Roman" w:cs="Times New Roman"/>
          <w:color w:val="000000"/>
          <w:sz w:val="24"/>
          <w:szCs w:val="24"/>
          <w:lang w:eastAsia="ar-SA"/>
        </w:rPr>
        <w:t>Akhavan</w:t>
      </w:r>
      <w:proofErr w:type="spellEnd"/>
    </w:p>
    <w:sectPr w:rsidR="009A0E2D" w:rsidRPr="007C7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D9"/>
    <w:rsid w:val="000071C0"/>
    <w:rsid w:val="00083E80"/>
    <w:rsid w:val="002B5E87"/>
    <w:rsid w:val="005200C5"/>
    <w:rsid w:val="00601C0E"/>
    <w:rsid w:val="006C6B50"/>
    <w:rsid w:val="00791238"/>
    <w:rsid w:val="007C7CA8"/>
    <w:rsid w:val="009527D9"/>
    <w:rsid w:val="00F027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A8"/>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7C7CA8"/>
    <w:pPr>
      <w:suppressAutoHyphens/>
      <w:spacing w:after="0" w:line="240" w:lineRule="auto"/>
    </w:pPr>
    <w:rPr>
      <w:rFonts w:ascii="Times New Roman" w:eastAsia="Arial"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A8"/>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7C7CA8"/>
    <w:pPr>
      <w:suppressAutoHyphens/>
      <w:spacing w:after="0" w:line="240" w:lineRule="auto"/>
    </w:pPr>
    <w:rPr>
      <w:rFonts w:ascii="Times New Roman" w:eastAsia="Arial"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47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289</Words>
  <Characters>1650</Characters>
  <Application>Microsoft Office Word</Application>
  <DocSecurity>0</DocSecurity>
  <Lines>13</Lines>
  <Paragraphs>3</Paragraphs>
  <ScaleCrop>false</ScaleCrop>
  <Company>Microsoft</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2015-02-23T15:38:00Z</dcterms:created>
  <dcterms:modified xsi:type="dcterms:W3CDTF">2015-06-12T10:39:00Z</dcterms:modified>
</cp:coreProperties>
</file>