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3" w:rsidRPr="00DA0DE2" w:rsidRDefault="00B87453" w:rsidP="00B87453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  <w:lang w:bidi="ar-TN"/>
        </w:rPr>
      </w:pPr>
      <w:proofErr w:type="spellStart"/>
      <w:r w:rsidRPr="004F608A">
        <w:rPr>
          <w:rFonts w:ascii="Times New Roman" w:hAnsi="Times New Roman" w:cs="Times New Roman"/>
          <w:bCs/>
          <w:iCs/>
          <w:sz w:val="24"/>
          <w:szCs w:val="24"/>
          <w:lang w:bidi="ar-TN"/>
        </w:rPr>
        <w:t>Bilgin</w:t>
      </w:r>
      <w:proofErr w:type="spellEnd"/>
      <w:r w:rsidRPr="004F608A">
        <w:rPr>
          <w:rFonts w:ascii="Times New Roman" w:hAnsi="Times New Roman" w:cs="Times New Roman"/>
          <w:bCs/>
          <w:iCs/>
          <w:sz w:val="24"/>
          <w:szCs w:val="24"/>
          <w:lang w:bidi="ar-TN"/>
        </w:rPr>
        <w:t xml:space="preserve">, </w:t>
      </w:r>
      <w:proofErr w:type="spellStart"/>
      <w:r w:rsidRPr="004F608A">
        <w:rPr>
          <w:rFonts w:ascii="Times New Roman" w:hAnsi="Times New Roman" w:cs="Times New Roman"/>
          <w:bCs/>
          <w:iCs/>
          <w:sz w:val="24"/>
          <w:szCs w:val="24"/>
          <w:lang w:bidi="ar-TN"/>
        </w:rPr>
        <w:t>Vejdi</w:t>
      </w:r>
      <w:proofErr w:type="spellEnd"/>
      <w:r w:rsidRPr="004F608A">
        <w:rPr>
          <w:rFonts w:ascii="Times New Roman" w:hAnsi="Times New Roman" w:cs="Times New Roman"/>
          <w:bCs/>
          <w:iCs/>
          <w:sz w:val="24"/>
          <w:szCs w:val="24"/>
          <w:lang w:bidi="ar-TN"/>
        </w:rPr>
        <w:t>.</w:t>
      </w:r>
      <w:r w:rsidRPr="00DA0DE2">
        <w:rPr>
          <w:rFonts w:ascii="Times New Roman" w:hAnsi="Times New Roman" w:cs="Times New Roman"/>
          <w:bCs/>
          <w:i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Fakih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ve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Toplum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: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Osmanlı'da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Sosyal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Yapı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ve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TN"/>
        </w:rPr>
        <w:t>Fıkıh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bidi="ar-TN"/>
        </w:rPr>
        <w:t>.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bidi="ar-TN"/>
        </w:rPr>
        <w:t xml:space="preserve"> İstanbul: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bidi="ar-TN"/>
        </w:rPr>
        <w:t>İz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bidi="ar-TN"/>
        </w:rPr>
        <w:t>Yayıncılık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bidi="ar-TN"/>
        </w:rPr>
        <w:t>, 2003, 224</w:t>
      </w:r>
      <w:r>
        <w:rPr>
          <w:rFonts w:ascii="Times New Roman" w:hAnsi="Times New Roman" w:cs="Times New Roman"/>
          <w:bCs/>
          <w:iCs/>
          <w:sz w:val="24"/>
          <w:szCs w:val="24"/>
          <w:lang w:bidi="ar-TN"/>
        </w:rPr>
        <w:t>pp</w:t>
      </w:r>
      <w:r w:rsidRPr="00DA0DE2">
        <w:rPr>
          <w:rFonts w:ascii="Times New Roman" w:hAnsi="Times New Roman" w:cs="Times New Roman"/>
          <w:bCs/>
          <w:iCs/>
          <w:sz w:val="24"/>
          <w:szCs w:val="24"/>
          <w:rtl/>
          <w:lang w:bidi="ar-TN"/>
        </w:rPr>
        <w:t>.</w:t>
      </w:r>
    </w:p>
    <w:p w:rsidR="00C920A3" w:rsidRPr="00B87453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0A3" w:rsidRPr="00B87453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r w:rsidRPr="00B87453">
        <w:rPr>
          <w:rFonts w:ascii="Times New Roman" w:hAnsi="Times New Roman" w:cs="Times New Roman"/>
          <w:b/>
          <w:bCs/>
          <w:sz w:val="24"/>
          <w:szCs w:val="24"/>
          <w:lang w:val="tr-TR"/>
        </w:rPr>
        <w:t>ABSTRACT</w:t>
      </w:r>
    </w:p>
    <w:bookmarkEnd w:id="0"/>
    <w:p w:rsidR="00C920A3" w:rsidRPr="003421A9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920A3" w:rsidRPr="003421A9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3421A9">
        <w:rPr>
          <w:rFonts w:ascii="Times New Roman" w:hAnsi="Times New Roman" w:cs="Times New Roman"/>
          <w:b/>
          <w:bCs/>
          <w:sz w:val="24"/>
          <w:szCs w:val="24"/>
        </w:rPr>
        <w:t>Faqih</w:t>
      </w:r>
      <w:proofErr w:type="spellEnd"/>
      <w:r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 and Society: Social Structure and </w:t>
      </w:r>
      <w:proofErr w:type="spellStart"/>
      <w:r w:rsidRPr="003421A9">
        <w:rPr>
          <w:rFonts w:ascii="Times New Roman" w:hAnsi="Times New Roman" w:cs="Times New Roman"/>
          <w:b/>
          <w:bCs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 in Ottomans</w:t>
      </w:r>
    </w:p>
    <w:p w:rsidR="00C920A3" w:rsidRPr="003421A9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920A3" w:rsidRPr="003421A9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Fakih ve Toplum: Osmanlı'da Sosyal Yapı ve Fıkıh</w:t>
      </w:r>
    </w:p>
    <w:p w:rsidR="00C920A3" w:rsidRPr="003421A9" w:rsidRDefault="00C920A3" w:rsidP="00C920A3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Based on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Vejdi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Bilgin’s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2001 dissertation, this study analyses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Hanefite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jurisprudence in the sixteenth century Ottoman Empire, which witnessed such jurists as Ibn Kemal and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Ebussuud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, who played a major role in the codification of law.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Bilgin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challenges the idea that Islamic law was in stagnation after the time of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. He analyses the factors, particularly social </w:t>
      </w:r>
      <w:proofErr w:type="gramStart"/>
      <w:r w:rsidRPr="003421A9">
        <w:rPr>
          <w:rFonts w:ascii="Times New Roman" w:hAnsi="Times New Roman" w:cs="Times New Roman"/>
          <w:sz w:val="24"/>
          <w:szCs w:val="24"/>
        </w:rPr>
        <w:t>ones, that</w:t>
      </w:r>
      <w:proofErr w:type="gramEnd"/>
      <w:r w:rsidRPr="003421A9">
        <w:rPr>
          <w:rFonts w:ascii="Times New Roman" w:hAnsi="Times New Roman" w:cs="Times New Roman"/>
          <w:sz w:val="24"/>
          <w:szCs w:val="24"/>
        </w:rPr>
        <w:t xml:space="preserve"> led the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faqih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to issue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fetwa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47" w:rsidRDefault="00093347" w:rsidP="000933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The book has three chapters. </w:t>
      </w:r>
      <w:r w:rsidRPr="00093347">
        <w:rPr>
          <w:rFonts w:ascii="Times New Roman" w:hAnsi="Times New Roman" w:cs="Times New Roman"/>
          <w:sz w:val="24"/>
          <w:szCs w:val="24"/>
        </w:rPr>
        <w:t xml:space="preserve">The first one explores the reciprocal relations between law, jurist, and society.  Although the scheme of society in a </w:t>
      </w:r>
      <w:proofErr w:type="spellStart"/>
      <w:r w:rsidRPr="00093347">
        <w:rPr>
          <w:rFonts w:ascii="Times New Roman" w:hAnsi="Times New Roman" w:cs="Times New Roman"/>
          <w:i/>
          <w:iCs/>
          <w:sz w:val="24"/>
          <w:szCs w:val="24"/>
        </w:rPr>
        <w:t>faqih</w:t>
      </w:r>
      <w:r w:rsidRPr="00093347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Pr="00093347">
        <w:rPr>
          <w:rFonts w:ascii="Times New Roman" w:hAnsi="Times New Roman" w:cs="Times New Roman"/>
          <w:sz w:val="24"/>
          <w:szCs w:val="24"/>
        </w:rPr>
        <w:t xml:space="preserve"> mind is influenced by the one he live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3347">
        <w:rPr>
          <w:rFonts w:ascii="Times New Roman" w:hAnsi="Times New Roman" w:cs="Times New Roman"/>
          <w:sz w:val="24"/>
          <w:szCs w:val="24"/>
        </w:rPr>
        <w:t xml:space="preserve"> in, for the author, </w:t>
      </w:r>
      <w:proofErr w:type="spellStart"/>
      <w:r w:rsidRPr="00093347">
        <w:rPr>
          <w:rFonts w:ascii="Times New Roman" w:hAnsi="Times New Roman" w:cs="Times New Roman"/>
          <w:i/>
          <w:iCs/>
          <w:sz w:val="24"/>
          <w:szCs w:val="24"/>
        </w:rPr>
        <w:t>Hanefite</w:t>
      </w:r>
      <w:proofErr w:type="spellEnd"/>
      <w:r w:rsidRPr="00093347">
        <w:rPr>
          <w:rFonts w:ascii="Times New Roman" w:hAnsi="Times New Roman" w:cs="Times New Roman"/>
          <w:sz w:val="24"/>
          <w:szCs w:val="24"/>
        </w:rPr>
        <w:t xml:space="preserve"> law does not regard custom as the sole social source of </w:t>
      </w:r>
      <w:proofErr w:type="spellStart"/>
      <w:r w:rsidRPr="00093347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093347">
        <w:rPr>
          <w:rFonts w:ascii="Times New Roman" w:hAnsi="Times New Roman" w:cs="Times New Roman"/>
          <w:sz w:val="24"/>
          <w:szCs w:val="24"/>
        </w:rPr>
        <w:t>.</w:t>
      </w:r>
    </w:p>
    <w:p w:rsidR="00093347" w:rsidRDefault="00093347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The bulk of the work is the second chapter, which focuses on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faqih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’ role in society.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Bilgin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chooses three major fields where sixteenth-century Ottoman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faqih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showed different responses to change. With regard to family and leisure, where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Bilgin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discusses issues such as marriage without consent,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mahr</w:t>
      </w:r>
      <w:proofErr w:type="spellEnd"/>
      <w:r w:rsidRPr="003421A9">
        <w:rPr>
          <w:rFonts w:ascii="Times New Roman" w:hAnsi="Times New Roman" w:cs="Times New Roman"/>
          <w:iCs/>
          <w:sz w:val="24"/>
          <w:szCs w:val="24"/>
        </w:rPr>
        <w:t xml:space="preserve"> (dowry)</w:t>
      </w:r>
      <w:r w:rsidRPr="003421A9">
        <w:rPr>
          <w:rFonts w:ascii="Times New Roman" w:hAnsi="Times New Roman" w:cs="Times New Roman"/>
          <w:sz w:val="24"/>
          <w:szCs w:val="24"/>
        </w:rPr>
        <w:t xml:space="preserve">, taverns and coffee-houses, the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faquih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were protective and conservative. Regarding their stance towards political authority, they could </w:t>
      </w:r>
      <w:r w:rsidRPr="003421A9">
        <w:rPr>
          <w:rFonts w:ascii="Times New Roman" w:hAnsi="Times New Roman" w:cs="Times New Roman"/>
          <w:sz w:val="24"/>
          <w:szCs w:val="24"/>
        </w:rPr>
        <w:lastRenderedPageBreak/>
        <w:t xml:space="preserve">influence law; for example, they made attempts for unification in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Hanefite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law. Finally, in economic matters such as correction of coins, interest, cash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waqf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(religious endowment), and status of land, the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faquih</w:t>
      </w:r>
      <w:r w:rsidRPr="00342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were adaptable to change. </w:t>
      </w: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The third chapter investigates the relations between religion and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Bilgin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sees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as a broader concept than religion. He also says that the role of </w:t>
      </w:r>
      <w:r w:rsidRPr="003421A9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urf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(social customs) of the sultan which was allowed in Islamic jurisprudence was complementary to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, not independent of it.</w:t>
      </w: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Despite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Bilgin’s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preference for an informative rather than argumentative style, this work is important in highlighting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fiqh</w:t>
      </w:r>
      <w:r w:rsidRPr="003421A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adaptability to change, illustrated in some aspects of sixteenth-century Ottoman society. </w:t>
      </w:r>
    </w:p>
    <w:p w:rsidR="00C920A3" w:rsidRPr="003421A9" w:rsidRDefault="00C920A3" w:rsidP="00C920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Pr="003421A9" w:rsidRDefault="00C920A3" w:rsidP="00C920A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Hasan Çolak</w:t>
      </w:r>
    </w:p>
    <w:p w:rsidR="009A0E2D" w:rsidRDefault="00B87453"/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F"/>
    <w:rsid w:val="000071C0"/>
    <w:rsid w:val="00083E80"/>
    <w:rsid w:val="00093347"/>
    <w:rsid w:val="006C6B50"/>
    <w:rsid w:val="0078206F"/>
    <w:rsid w:val="00791238"/>
    <w:rsid w:val="00B87453"/>
    <w:rsid w:val="00C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2015-02-23T13:04:00Z</dcterms:created>
  <dcterms:modified xsi:type="dcterms:W3CDTF">2015-06-09T09:52:00Z</dcterms:modified>
</cp:coreProperties>
</file>