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7C" w:rsidRPr="00DA0DE2" w:rsidRDefault="00D33A7C" w:rsidP="00D33A7C">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بوساق، محمد بن المدني</w:t>
      </w:r>
      <w:r w:rsidRPr="00DA0DE2">
        <w:rPr>
          <w:rFonts w:ascii="Times New Roman" w:hAnsi="Times New Roman" w:cs="Times New Roman"/>
          <w:i/>
          <w:iCs/>
          <w:sz w:val="24"/>
          <w:szCs w:val="24"/>
          <w:rtl/>
          <w:lang w:val="en-US"/>
        </w:rPr>
        <w:t>. اتجاهات السياسة الجنائية المعاصرة و الشريعة الإسلامية</w:t>
      </w:r>
      <w:r w:rsidRPr="00DA0DE2">
        <w:rPr>
          <w:rFonts w:ascii="Times New Roman" w:hAnsi="Times New Roman" w:cs="Times New Roman"/>
          <w:sz w:val="24"/>
          <w:szCs w:val="24"/>
          <w:rtl/>
          <w:lang w:val="en-US"/>
        </w:rPr>
        <w:t>. الرياض: أكاديمية نايف العربية للعلوم الأمنية، ٢٠٠٢، ٢٥۸ ص.</w:t>
      </w:r>
    </w:p>
    <w:p w:rsidR="00D33A7C" w:rsidRPr="00DA0DE2" w:rsidRDefault="00D33A7C" w:rsidP="00D33A7C">
      <w:pPr>
        <w:bidi/>
        <w:spacing w:after="0" w:line="480" w:lineRule="auto"/>
        <w:jc w:val="right"/>
        <w:rPr>
          <w:rFonts w:ascii="Times New Roman" w:hAnsi="Times New Roman" w:cs="Times New Roman"/>
          <w:sz w:val="24"/>
          <w:szCs w:val="24"/>
          <w:rtl/>
          <w:lang w:val="en-US" w:bidi="ar-TN"/>
        </w:rPr>
      </w:pPr>
    </w:p>
    <w:p w:rsidR="00D33A7C" w:rsidRPr="00DA0DE2" w:rsidRDefault="00D33A7C" w:rsidP="00665EC9">
      <w:pPr>
        <w:spacing w:after="0" w:line="480" w:lineRule="auto"/>
        <w:rPr>
          <w:rFonts w:ascii="Times New Roman" w:hAnsi="Times New Roman" w:cs="Times New Roman"/>
          <w:sz w:val="24"/>
          <w:szCs w:val="24"/>
          <w:lang w:bidi="ar-TN"/>
        </w:rPr>
      </w:pPr>
      <w:proofErr w:type="spellStart"/>
      <w:proofErr w:type="gramStart"/>
      <w:r w:rsidRPr="00DA0DE2">
        <w:rPr>
          <w:rFonts w:ascii="Times New Roman" w:hAnsi="Times New Roman" w:cs="Times New Roman"/>
          <w:sz w:val="24"/>
          <w:szCs w:val="24"/>
          <w:lang w:val="en-US" w:bidi="ar-TN"/>
        </w:rPr>
        <w:t>Busaq</w:t>
      </w:r>
      <w:proofErr w:type="spellEnd"/>
      <w:r w:rsidRPr="00DA0DE2">
        <w:rPr>
          <w:rFonts w:ascii="Times New Roman" w:hAnsi="Times New Roman" w:cs="Times New Roman"/>
          <w:sz w:val="24"/>
          <w:szCs w:val="24"/>
          <w:lang w:val="en-US" w:bidi="ar-TN"/>
        </w:rPr>
        <w:t>, Muhammad ibn al-</w:t>
      </w:r>
      <w:proofErr w:type="spellStart"/>
      <w:r w:rsidRPr="00DA0DE2">
        <w:rPr>
          <w:rFonts w:ascii="Times New Roman" w:hAnsi="Times New Roman" w:cs="Times New Roman"/>
          <w:sz w:val="24"/>
          <w:szCs w:val="24"/>
          <w:lang w:val="en-US" w:bidi="ar-TN"/>
        </w:rPr>
        <w:t>Madani</w:t>
      </w:r>
      <w:proofErr w:type="spellEnd"/>
      <w:r w:rsidRPr="00DA0DE2">
        <w:rPr>
          <w:rFonts w:ascii="Times New Roman" w:hAnsi="Times New Roman" w:cs="Times New Roman"/>
          <w:sz w:val="24"/>
          <w:szCs w:val="24"/>
          <w:lang w:val="en-US" w:bidi="ar-TN"/>
        </w:rPr>
        <w:t>.</w:t>
      </w:r>
      <w:proofErr w:type="gramEnd"/>
      <w:r w:rsidRPr="00DA0DE2">
        <w:rPr>
          <w:rFonts w:ascii="Times New Roman" w:hAnsi="Times New Roman" w:cs="Times New Roman"/>
          <w:sz w:val="24"/>
          <w:szCs w:val="24"/>
          <w:lang w:val="en-US" w:bidi="ar-TN"/>
        </w:rPr>
        <w:t xml:space="preserve"> </w:t>
      </w:r>
      <w:proofErr w:type="spellStart"/>
      <w:proofErr w:type="gramStart"/>
      <w:r w:rsidRPr="00DA0DE2">
        <w:rPr>
          <w:rFonts w:ascii="Times New Roman" w:hAnsi="Times New Roman" w:cs="Times New Roman"/>
          <w:i/>
          <w:iCs/>
          <w:sz w:val="24"/>
          <w:szCs w:val="24"/>
          <w:lang w:val="en-US" w:bidi="ar-TN"/>
        </w:rPr>
        <w:t>Ittijahat</w:t>
      </w:r>
      <w:proofErr w:type="spellEnd"/>
      <w:r w:rsidRPr="00DA0DE2">
        <w:rPr>
          <w:rFonts w:ascii="Times New Roman" w:hAnsi="Times New Roman" w:cs="Times New Roman"/>
          <w:i/>
          <w:iCs/>
          <w:sz w:val="24"/>
          <w:szCs w:val="24"/>
          <w:lang w:val="en-US" w:bidi="ar-TN"/>
        </w:rPr>
        <w:t xml:space="preserve"> al-</w:t>
      </w:r>
      <w:proofErr w:type="spellStart"/>
      <w:r w:rsidRPr="00DA0DE2">
        <w:rPr>
          <w:rFonts w:ascii="Times New Roman" w:hAnsi="Times New Roman" w:cs="Times New Roman"/>
          <w:i/>
          <w:iCs/>
          <w:sz w:val="24"/>
          <w:szCs w:val="24"/>
          <w:lang w:val="en-US" w:bidi="ar-TN"/>
        </w:rPr>
        <w:t>Siyasa</w:t>
      </w:r>
      <w:r w:rsidR="00B52665">
        <w:rPr>
          <w:rFonts w:ascii="Times New Roman" w:hAnsi="Times New Roman" w:cs="Times New Roman"/>
          <w:i/>
          <w:iCs/>
          <w:sz w:val="24"/>
          <w:szCs w:val="24"/>
          <w:lang w:val="en-US" w:bidi="ar-TN"/>
        </w:rPr>
        <w:t>h</w:t>
      </w:r>
      <w:proofErr w:type="spellEnd"/>
      <w:r w:rsidRPr="00DA0DE2">
        <w:rPr>
          <w:rFonts w:ascii="Times New Roman" w:hAnsi="Times New Roman" w:cs="Times New Roman"/>
          <w:i/>
          <w:iCs/>
          <w:sz w:val="24"/>
          <w:szCs w:val="24"/>
          <w:lang w:val="en-US" w:bidi="ar-TN"/>
        </w:rPr>
        <w:t xml:space="preserve"> al-</w:t>
      </w:r>
      <w:proofErr w:type="spellStart"/>
      <w:r w:rsidRPr="00DA0DE2">
        <w:rPr>
          <w:rFonts w:ascii="Times New Roman" w:hAnsi="Times New Roman" w:cs="Times New Roman"/>
          <w:i/>
          <w:iCs/>
          <w:sz w:val="24"/>
          <w:szCs w:val="24"/>
          <w:lang w:val="en-US" w:bidi="ar-TN"/>
        </w:rPr>
        <w:t>Jinaʼiyya</w:t>
      </w:r>
      <w:r w:rsidR="00B52665">
        <w:rPr>
          <w:rFonts w:ascii="Times New Roman" w:hAnsi="Times New Roman" w:cs="Times New Roman"/>
          <w:i/>
          <w:iCs/>
          <w:sz w:val="24"/>
          <w:szCs w:val="24"/>
          <w:lang w:val="en-US" w:bidi="ar-TN"/>
        </w:rPr>
        <w:t>h</w:t>
      </w:r>
      <w:proofErr w:type="spellEnd"/>
      <w:r w:rsidRPr="00DA0DE2">
        <w:rPr>
          <w:rFonts w:ascii="Times New Roman" w:hAnsi="Times New Roman" w:cs="Times New Roman"/>
          <w:i/>
          <w:iCs/>
          <w:sz w:val="24"/>
          <w:szCs w:val="24"/>
          <w:lang w:val="en-US" w:bidi="ar-TN"/>
        </w:rPr>
        <w:t xml:space="preserve"> al-</w:t>
      </w:r>
      <w:proofErr w:type="spellStart"/>
      <w:r w:rsidRPr="00DA0DE2">
        <w:rPr>
          <w:rFonts w:ascii="Times New Roman" w:hAnsi="Times New Roman" w:cs="Times New Roman"/>
          <w:i/>
          <w:iCs/>
          <w:sz w:val="24"/>
          <w:szCs w:val="24"/>
          <w:lang w:val="en-US" w:bidi="ar-TN"/>
        </w:rPr>
        <w:t>Muʻasira</w:t>
      </w:r>
      <w:r w:rsidR="00B52665">
        <w:rPr>
          <w:rFonts w:ascii="Times New Roman" w:hAnsi="Times New Roman" w:cs="Times New Roman"/>
          <w:i/>
          <w:iCs/>
          <w:sz w:val="24"/>
          <w:szCs w:val="24"/>
          <w:lang w:val="en-US" w:bidi="ar-TN"/>
        </w:rPr>
        <w:t>h</w:t>
      </w:r>
      <w:proofErr w:type="spellEnd"/>
      <w:r w:rsidRPr="00DA0DE2">
        <w:rPr>
          <w:rFonts w:ascii="Times New Roman" w:hAnsi="Times New Roman" w:cs="Times New Roman"/>
          <w:i/>
          <w:iCs/>
          <w:sz w:val="24"/>
          <w:szCs w:val="24"/>
          <w:lang w:val="en-US" w:bidi="ar-TN"/>
        </w:rPr>
        <w:t xml:space="preserve"> </w:t>
      </w:r>
      <w:proofErr w:type="spellStart"/>
      <w:r w:rsidRPr="00DA0DE2">
        <w:rPr>
          <w:rFonts w:ascii="Times New Roman" w:hAnsi="Times New Roman" w:cs="Times New Roman"/>
          <w:i/>
          <w:iCs/>
          <w:sz w:val="24"/>
          <w:szCs w:val="24"/>
          <w:lang w:val="en-US" w:bidi="ar-TN"/>
        </w:rPr>
        <w:t>wa</w:t>
      </w:r>
      <w:proofErr w:type="spellEnd"/>
      <w:r w:rsidR="00665EC9">
        <w:rPr>
          <w:rFonts w:ascii="Times New Roman" w:hAnsi="Times New Roman" w:cs="Times New Roman"/>
          <w:i/>
          <w:iCs/>
          <w:sz w:val="24"/>
          <w:szCs w:val="24"/>
          <w:lang w:val="en-US" w:bidi="ar-TN"/>
        </w:rPr>
        <w:t>-</w:t>
      </w:r>
      <w:bookmarkStart w:id="0" w:name="_GoBack"/>
      <w:bookmarkEnd w:id="0"/>
      <w:r w:rsidRPr="00DA0DE2">
        <w:rPr>
          <w:rFonts w:ascii="Times New Roman" w:hAnsi="Times New Roman" w:cs="Times New Roman"/>
          <w:i/>
          <w:iCs/>
          <w:sz w:val="24"/>
          <w:szCs w:val="24"/>
          <w:lang w:val="en-US" w:bidi="ar-TN"/>
        </w:rPr>
        <w:t>al-</w:t>
      </w:r>
      <w:proofErr w:type="spellStart"/>
      <w:r w:rsidRPr="00DA0DE2">
        <w:rPr>
          <w:rFonts w:ascii="Times New Roman" w:hAnsi="Times New Roman" w:cs="Times New Roman"/>
          <w:i/>
          <w:iCs/>
          <w:sz w:val="24"/>
          <w:szCs w:val="24"/>
          <w:lang w:val="en-US" w:bidi="ar-TN"/>
        </w:rPr>
        <w:t>Shariʻa</w:t>
      </w:r>
      <w:r w:rsidR="00B52665">
        <w:rPr>
          <w:rFonts w:ascii="Times New Roman" w:hAnsi="Times New Roman" w:cs="Times New Roman"/>
          <w:i/>
          <w:iCs/>
          <w:sz w:val="24"/>
          <w:szCs w:val="24"/>
          <w:lang w:val="en-US" w:bidi="ar-TN"/>
        </w:rPr>
        <w:t>h</w:t>
      </w:r>
      <w:proofErr w:type="spellEnd"/>
      <w:r w:rsidRPr="00DA0DE2">
        <w:rPr>
          <w:rFonts w:ascii="Times New Roman" w:hAnsi="Times New Roman" w:cs="Times New Roman"/>
          <w:i/>
          <w:iCs/>
          <w:sz w:val="24"/>
          <w:szCs w:val="24"/>
          <w:lang w:val="en-US" w:bidi="ar-TN"/>
        </w:rPr>
        <w:t xml:space="preserve"> al-</w:t>
      </w:r>
      <w:proofErr w:type="spellStart"/>
      <w:r w:rsidRPr="00DA0DE2">
        <w:rPr>
          <w:rFonts w:ascii="Times New Roman" w:hAnsi="Times New Roman" w:cs="Times New Roman"/>
          <w:i/>
          <w:iCs/>
          <w:sz w:val="24"/>
          <w:szCs w:val="24"/>
          <w:lang w:val="en-US" w:bidi="ar-TN"/>
        </w:rPr>
        <w:t>Islamiyya</w:t>
      </w:r>
      <w:r w:rsidR="00B52665">
        <w:rPr>
          <w:rFonts w:ascii="Times New Roman" w:hAnsi="Times New Roman" w:cs="Times New Roman"/>
          <w:i/>
          <w:iCs/>
          <w:sz w:val="24"/>
          <w:szCs w:val="24"/>
          <w:lang w:val="en-US" w:bidi="ar-TN"/>
        </w:rPr>
        <w:t>h</w:t>
      </w:r>
      <w:proofErr w:type="spellEnd"/>
      <w:r w:rsidRPr="00DA0DE2">
        <w:rPr>
          <w:rFonts w:ascii="Times New Roman" w:hAnsi="Times New Roman" w:cs="Times New Roman"/>
          <w:sz w:val="24"/>
          <w:szCs w:val="24"/>
          <w:lang w:val="en-US" w:bidi="ar-TN"/>
        </w:rPr>
        <w:t>.</w:t>
      </w:r>
      <w:proofErr w:type="gramEnd"/>
      <w:r w:rsidRPr="00DA0DE2">
        <w:rPr>
          <w:rFonts w:ascii="Times New Roman" w:hAnsi="Times New Roman" w:cs="Times New Roman"/>
          <w:sz w:val="24"/>
          <w:szCs w:val="24"/>
          <w:lang w:val="en-US" w:bidi="ar-TN"/>
        </w:rPr>
        <w:t xml:space="preserve"> Riyadh: </w:t>
      </w:r>
      <w:proofErr w:type="spellStart"/>
      <w:r w:rsidRPr="00DA0DE2">
        <w:rPr>
          <w:rFonts w:ascii="Times New Roman" w:hAnsi="Times New Roman" w:cs="Times New Roman"/>
          <w:sz w:val="24"/>
          <w:szCs w:val="24"/>
          <w:lang w:val="en-US" w:bidi="ar-TN"/>
        </w:rPr>
        <w:t>Akadimiyyat</w:t>
      </w:r>
      <w:proofErr w:type="spellEnd"/>
      <w:r w:rsidRPr="00DA0DE2">
        <w:rPr>
          <w:rFonts w:ascii="Times New Roman" w:hAnsi="Times New Roman" w:cs="Times New Roman"/>
          <w:sz w:val="24"/>
          <w:szCs w:val="24"/>
          <w:lang w:val="en-US" w:bidi="ar-TN"/>
        </w:rPr>
        <w:t xml:space="preserve"> </w:t>
      </w:r>
      <w:proofErr w:type="spellStart"/>
      <w:r w:rsidRPr="00DA0DE2">
        <w:rPr>
          <w:rFonts w:ascii="Times New Roman" w:hAnsi="Times New Roman" w:cs="Times New Roman"/>
          <w:sz w:val="24"/>
          <w:szCs w:val="24"/>
          <w:lang w:val="en-US" w:bidi="ar-TN"/>
        </w:rPr>
        <w:t>Nayif</w:t>
      </w:r>
      <w:proofErr w:type="spellEnd"/>
      <w:r w:rsidRPr="00DA0DE2">
        <w:rPr>
          <w:rFonts w:ascii="Times New Roman" w:hAnsi="Times New Roman" w:cs="Times New Roman"/>
          <w:sz w:val="24"/>
          <w:szCs w:val="24"/>
          <w:lang w:val="en-US" w:bidi="ar-TN"/>
        </w:rPr>
        <w:t xml:space="preserve"> al-</w:t>
      </w:r>
      <w:proofErr w:type="spellStart"/>
      <w:r w:rsidRPr="00DA0DE2">
        <w:rPr>
          <w:rFonts w:ascii="Times New Roman" w:hAnsi="Times New Roman" w:cs="Times New Roman"/>
          <w:sz w:val="24"/>
          <w:szCs w:val="24"/>
          <w:lang w:val="en-US" w:bidi="ar-TN"/>
        </w:rPr>
        <w:t>ʻArabiyya</w:t>
      </w:r>
      <w:r w:rsidR="00B52665">
        <w:rPr>
          <w:rFonts w:ascii="Times New Roman" w:hAnsi="Times New Roman" w:cs="Times New Roman"/>
          <w:sz w:val="24"/>
          <w:szCs w:val="24"/>
          <w:lang w:val="en-US" w:bidi="ar-TN"/>
        </w:rPr>
        <w:t>h</w:t>
      </w:r>
      <w:proofErr w:type="spellEnd"/>
      <w:r w:rsidRPr="00DA0DE2">
        <w:rPr>
          <w:rFonts w:ascii="Times New Roman" w:hAnsi="Times New Roman" w:cs="Times New Roman"/>
          <w:sz w:val="24"/>
          <w:szCs w:val="24"/>
          <w:lang w:val="en-US" w:bidi="ar-TN"/>
        </w:rPr>
        <w:t xml:space="preserve"> </w:t>
      </w:r>
      <w:proofErr w:type="spellStart"/>
      <w:r w:rsidRPr="00DA0DE2">
        <w:rPr>
          <w:rFonts w:ascii="Times New Roman" w:hAnsi="Times New Roman" w:cs="Times New Roman"/>
          <w:sz w:val="24"/>
          <w:szCs w:val="24"/>
          <w:lang w:val="en-US" w:bidi="ar-TN"/>
        </w:rPr>
        <w:t>lil-ʻUlum</w:t>
      </w:r>
      <w:proofErr w:type="spellEnd"/>
      <w:r w:rsidRPr="00DA0DE2">
        <w:rPr>
          <w:rFonts w:ascii="Times New Roman" w:hAnsi="Times New Roman" w:cs="Times New Roman"/>
          <w:sz w:val="24"/>
          <w:szCs w:val="24"/>
          <w:lang w:val="en-US" w:bidi="ar-TN"/>
        </w:rPr>
        <w:t xml:space="preserve"> al-</w:t>
      </w:r>
      <w:proofErr w:type="spellStart"/>
      <w:r w:rsidRPr="00DA0DE2">
        <w:rPr>
          <w:rFonts w:ascii="Times New Roman" w:hAnsi="Times New Roman" w:cs="Times New Roman"/>
          <w:sz w:val="24"/>
          <w:szCs w:val="24"/>
          <w:lang w:val="en-US" w:bidi="ar-TN"/>
        </w:rPr>
        <w:t>Amniyya</w:t>
      </w:r>
      <w:r w:rsidR="00B52665">
        <w:rPr>
          <w:rFonts w:ascii="Times New Roman" w:hAnsi="Times New Roman" w:cs="Times New Roman"/>
          <w:sz w:val="24"/>
          <w:szCs w:val="24"/>
          <w:lang w:val="en-US" w:bidi="ar-TN"/>
        </w:rPr>
        <w:t>h</w:t>
      </w:r>
      <w:proofErr w:type="spellEnd"/>
      <w:r w:rsidRPr="00DA0DE2">
        <w:rPr>
          <w:rFonts w:ascii="Times New Roman" w:hAnsi="Times New Roman" w:cs="Times New Roman"/>
          <w:sz w:val="24"/>
          <w:szCs w:val="24"/>
          <w:lang w:val="en-US" w:bidi="ar-TN"/>
        </w:rPr>
        <w:t>, 2002, 258</w:t>
      </w:r>
      <w:r w:rsidR="00B52665">
        <w:rPr>
          <w:rFonts w:ascii="Times New Roman" w:hAnsi="Times New Roman" w:cs="Times New Roman"/>
          <w:sz w:val="24"/>
          <w:szCs w:val="24"/>
          <w:lang w:val="en-US" w:bidi="ar-TN"/>
        </w:rPr>
        <w:t>p</w:t>
      </w:r>
      <w:r w:rsidRPr="00DA0DE2">
        <w:rPr>
          <w:rFonts w:ascii="Times New Roman" w:hAnsi="Times New Roman" w:cs="Times New Roman"/>
          <w:sz w:val="24"/>
          <w:szCs w:val="24"/>
          <w:lang w:val="en-US" w:bidi="ar-TN"/>
        </w:rPr>
        <w:t xml:space="preserve">p. </w:t>
      </w:r>
    </w:p>
    <w:p w:rsidR="00D33A7C" w:rsidRPr="00DA0DE2" w:rsidRDefault="00D33A7C" w:rsidP="00D33A7C">
      <w:pPr>
        <w:bidi/>
        <w:spacing w:after="0" w:line="480" w:lineRule="auto"/>
        <w:rPr>
          <w:rFonts w:ascii="Times New Roman" w:hAnsi="Times New Roman" w:cs="Times New Roman"/>
          <w:sz w:val="24"/>
          <w:szCs w:val="24"/>
          <w:rtl/>
          <w:lang w:val="en-US"/>
        </w:rPr>
      </w:pPr>
    </w:p>
    <w:p w:rsidR="00D33A7C" w:rsidRPr="001B39B2" w:rsidRDefault="00D33A7C" w:rsidP="00D33A7C">
      <w:pPr>
        <w:bidi/>
        <w:spacing w:after="0" w:line="480" w:lineRule="auto"/>
        <w:jc w:val="center"/>
        <w:rPr>
          <w:rFonts w:ascii="Times New Roman" w:hAnsi="Times New Roman" w:cs="Times New Roman"/>
          <w:b/>
          <w:bCs/>
          <w:sz w:val="24"/>
          <w:szCs w:val="24"/>
          <w:rtl/>
          <w:lang w:val="en-US"/>
        </w:rPr>
      </w:pPr>
      <w:r w:rsidRPr="001B39B2">
        <w:rPr>
          <w:rFonts w:ascii="Times New Roman" w:hAnsi="Times New Roman" w:cs="Times New Roman"/>
          <w:b/>
          <w:bCs/>
          <w:sz w:val="24"/>
          <w:szCs w:val="24"/>
          <w:rtl/>
          <w:lang w:val="en-US"/>
        </w:rPr>
        <w:t>ملخص</w:t>
      </w:r>
    </w:p>
    <w:p w:rsidR="00D33A7C" w:rsidRPr="00DA0DE2" w:rsidRDefault="00D33A7C" w:rsidP="00D33A7C">
      <w:pPr>
        <w:bidi/>
        <w:spacing w:after="0" w:line="480" w:lineRule="auto"/>
        <w:jc w:val="center"/>
        <w:rPr>
          <w:rFonts w:ascii="Times New Roman" w:hAnsi="Times New Roman" w:cs="Times New Roman"/>
          <w:b/>
          <w:bCs/>
          <w:sz w:val="24"/>
          <w:szCs w:val="24"/>
          <w:rtl/>
          <w:lang w:val="en-US"/>
        </w:rPr>
      </w:pPr>
    </w:p>
    <w:p w:rsidR="00D33A7C" w:rsidRPr="00DA0DE2" w:rsidRDefault="00D33A7C" w:rsidP="00D33A7C">
      <w:pPr>
        <w:bidi/>
        <w:spacing w:after="0" w:line="480" w:lineRule="auto"/>
        <w:jc w:val="center"/>
        <w:rPr>
          <w:rFonts w:ascii="Times New Roman" w:hAnsi="Times New Roman" w:cs="Times New Roman"/>
          <w:b/>
          <w:bCs/>
          <w:sz w:val="24"/>
          <w:szCs w:val="24"/>
          <w:rtl/>
          <w:lang w:val="en-US"/>
        </w:rPr>
      </w:pPr>
      <w:r w:rsidRPr="00DA0DE2">
        <w:rPr>
          <w:rFonts w:ascii="Times New Roman" w:hAnsi="Times New Roman" w:cs="Times New Roman"/>
          <w:b/>
          <w:bCs/>
          <w:sz w:val="24"/>
          <w:szCs w:val="24"/>
          <w:rtl/>
          <w:lang w:val="en-US"/>
        </w:rPr>
        <w:t>اتجاهات السياسة الجنائية المعاصرة و الشريعة الإسلامية</w:t>
      </w:r>
    </w:p>
    <w:p w:rsidR="00D33A7C" w:rsidRPr="00DA0DE2" w:rsidRDefault="00D33A7C" w:rsidP="00D33A7C">
      <w:pPr>
        <w:bidi/>
        <w:spacing w:after="0" w:line="480" w:lineRule="auto"/>
        <w:rPr>
          <w:rFonts w:ascii="Times New Roman" w:hAnsi="Times New Roman" w:cs="Times New Roman"/>
          <w:sz w:val="24"/>
          <w:szCs w:val="24"/>
          <w:lang w:val="en-US" w:bidi="ar-TN"/>
        </w:rPr>
      </w:pPr>
    </w:p>
    <w:p w:rsidR="00D33A7C" w:rsidRPr="00DA0DE2" w:rsidRDefault="00D33A7C" w:rsidP="00D33A7C">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يبدأ الكتاب بتقديم لرئيس أكاديمية نايف الدكتور عبد العزيز بن صقر الغامدي يوضح فيه هدف العمل الذي يتمثل في مقارنة السياسة الجنائية في الشريعة الإسلامية باتجاهات السياسة الجنائية المعاصرة، و</w:t>
      </w:r>
      <w:r w:rsidRPr="00DA0DE2">
        <w:rPr>
          <w:rFonts w:ascii="Times New Roman" w:hAnsi="Times New Roman" w:cs="Times New Roman"/>
          <w:sz w:val="24"/>
          <w:szCs w:val="24"/>
          <w:lang w:val="en-US" w:bidi="ar-TN"/>
        </w:rPr>
        <w:t xml:space="preserve"> </w:t>
      </w:r>
      <w:r w:rsidRPr="00DA0DE2">
        <w:rPr>
          <w:rFonts w:ascii="Times New Roman" w:hAnsi="Times New Roman" w:cs="Times New Roman"/>
          <w:sz w:val="24"/>
          <w:szCs w:val="24"/>
          <w:rtl/>
          <w:lang w:val="en-US"/>
        </w:rPr>
        <w:t>بيان أوجه القصور في الأخيرة التي تؤدي إلى انتشار الجريمة. يلي هذا التقديم مقدمة المؤلف التي يشير فيها إلى أنه سيقوم بتقديم صورة متكاملة عن السياسة الجنائية في النظم الوضعية بأسلوب حيادي ميسر بالإضافة إلى استعراض ما يرتبط بالسياسة الجنائية في الشريعة الإسلامية بغية دفع الشبهات و</w:t>
      </w:r>
      <w:r w:rsidRPr="00DA0DE2">
        <w:rPr>
          <w:rFonts w:ascii="Times New Roman" w:hAnsi="Times New Roman" w:cs="Times New Roman"/>
          <w:sz w:val="24"/>
          <w:szCs w:val="24"/>
          <w:lang w:val="en-US" w:bidi="ar-TN"/>
        </w:rPr>
        <w:t xml:space="preserve"> </w:t>
      </w:r>
      <w:r w:rsidRPr="00DA0DE2">
        <w:rPr>
          <w:rFonts w:ascii="Times New Roman" w:hAnsi="Times New Roman" w:cs="Times New Roman"/>
          <w:sz w:val="24"/>
          <w:szCs w:val="24"/>
          <w:rtl/>
          <w:lang w:val="en-US"/>
        </w:rPr>
        <w:t>رفع اللبس و</w:t>
      </w:r>
      <w:r w:rsidRPr="00DA0DE2">
        <w:rPr>
          <w:rFonts w:ascii="Times New Roman" w:hAnsi="Times New Roman" w:cs="Times New Roman"/>
          <w:sz w:val="24"/>
          <w:szCs w:val="24"/>
          <w:lang w:val="en-US" w:bidi="ar-TN"/>
        </w:rPr>
        <w:t xml:space="preserve"> </w:t>
      </w:r>
      <w:r w:rsidRPr="00DA0DE2">
        <w:rPr>
          <w:rFonts w:ascii="Times New Roman" w:hAnsi="Times New Roman" w:cs="Times New Roman"/>
          <w:sz w:val="24"/>
          <w:szCs w:val="24"/>
          <w:rtl/>
          <w:lang w:val="en-US"/>
        </w:rPr>
        <w:t>إقامة الحجة ع</w:t>
      </w:r>
      <w:r w:rsidRPr="00DA0DE2">
        <w:rPr>
          <w:rFonts w:ascii="Times New Roman" w:hAnsi="Times New Roman" w:cs="Times New Roman"/>
          <w:sz w:val="24"/>
          <w:szCs w:val="24"/>
          <w:rtl/>
          <w:lang w:val="en-US" w:bidi="ar-SY"/>
        </w:rPr>
        <w:t>لى</w:t>
      </w:r>
      <w:r w:rsidRPr="00DA0DE2">
        <w:rPr>
          <w:rFonts w:ascii="Times New Roman" w:hAnsi="Times New Roman" w:cs="Times New Roman"/>
          <w:sz w:val="24"/>
          <w:szCs w:val="24"/>
          <w:rtl/>
          <w:lang w:val="en-US"/>
        </w:rPr>
        <w:t xml:space="preserve"> الشريعة الإسلامية و بيان أوجه الاتفاق بين النظامين. </w:t>
      </w:r>
    </w:p>
    <w:p w:rsidR="00D33A7C" w:rsidRPr="00DA0DE2" w:rsidRDefault="00D33A7C" w:rsidP="00D33A7C">
      <w:pPr>
        <w:bidi/>
        <w:spacing w:after="0" w:line="480" w:lineRule="auto"/>
        <w:rPr>
          <w:rFonts w:ascii="Times New Roman" w:hAnsi="Times New Roman" w:cs="Times New Roman"/>
          <w:sz w:val="24"/>
          <w:szCs w:val="24"/>
          <w:rtl/>
          <w:lang w:val="en-US"/>
        </w:rPr>
      </w:pPr>
    </w:p>
    <w:p w:rsidR="00D33A7C" w:rsidRPr="00DA0DE2" w:rsidRDefault="00D33A7C" w:rsidP="00D33A7C">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 xml:space="preserve">يستهل المؤلف كتابه بتعريف السياسة الجنائية في اللغة و الاصطلاح الشرعي و الأنظمة المعاصرة، ثم يقارن بين تعريف السياسة الجنائية في الشريعة الإسلامية و تعريفها في النظم المعاصرة. كما يدرس الاتجاهات الأكاديمية للسياسة الجنائية المعاصرة، و فروع السياسة الجنائية في الدول المعاصرة، و مشكلاتها و سبل مواجهتها. و يخصص المؤلف فصلا كاملا للحديث عن اتجاهات السياسة الجنائية المعاصرة في ضوء الشريعة الإسلامية و مقارنتها مع السياسات الوضعية. </w:t>
      </w:r>
    </w:p>
    <w:p w:rsidR="00D33A7C" w:rsidRPr="00DA0DE2" w:rsidRDefault="00D33A7C" w:rsidP="00D33A7C">
      <w:pPr>
        <w:bidi/>
        <w:spacing w:after="0" w:line="480" w:lineRule="auto"/>
        <w:rPr>
          <w:rFonts w:ascii="Times New Roman" w:hAnsi="Times New Roman" w:cs="Times New Roman"/>
          <w:sz w:val="24"/>
          <w:szCs w:val="24"/>
          <w:rtl/>
          <w:lang w:val="en-US"/>
        </w:rPr>
      </w:pPr>
    </w:p>
    <w:p w:rsidR="00D33A7C" w:rsidRPr="00DA0DE2" w:rsidRDefault="00D33A7C" w:rsidP="00D33A7C">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 xml:space="preserve">يتناول هذا الكتاب موضوعا هاما، فالعقوبات و الحدود في الإسلام من أهم القضايا التي يتطرق إليها من يشنون هجوما ضاريا ضد الإسلام في الوقت الحاضر. لذا كان من الضروري إلقاء الضوء على ما تتميز به الشريعة الإسلامية عن </w:t>
      </w:r>
      <w:r w:rsidRPr="00DA0DE2">
        <w:rPr>
          <w:rFonts w:ascii="Times New Roman" w:hAnsi="Times New Roman" w:cs="Times New Roman"/>
          <w:sz w:val="24"/>
          <w:szCs w:val="24"/>
          <w:rtl/>
          <w:lang w:val="en-US"/>
        </w:rPr>
        <w:lastRenderedPageBreak/>
        <w:t>غيرها من النظم الوضعية. و يؤكد الكتاب على ضرورة تطبيق أحكام الشريعة من أجل منع الجريمة و الوقاية منها في كل المجتمعات، حيث تكون العقوبة الشرعية علاجا للجريمة و وقاية من الوقوع فيها في ذات الوقت</w:t>
      </w:r>
      <w:r w:rsidRPr="00DA0DE2">
        <w:rPr>
          <w:rFonts w:ascii="Times New Roman" w:hAnsi="Times New Roman" w:cs="Times New Roman"/>
          <w:sz w:val="24"/>
          <w:szCs w:val="24"/>
          <w:lang w:val="en-US" w:bidi="ar-TN"/>
        </w:rPr>
        <w:t>.</w:t>
      </w:r>
      <w:r w:rsidRPr="00DA0DE2">
        <w:rPr>
          <w:rFonts w:ascii="Times New Roman" w:hAnsi="Times New Roman" w:cs="Times New Roman"/>
          <w:sz w:val="24"/>
          <w:szCs w:val="24"/>
          <w:rtl/>
          <w:lang w:val="en-US"/>
        </w:rPr>
        <w:t xml:space="preserve"> </w:t>
      </w:r>
    </w:p>
    <w:p w:rsidR="00D33A7C" w:rsidRPr="00DA0DE2" w:rsidRDefault="00D33A7C" w:rsidP="00D33A7C">
      <w:pPr>
        <w:bidi/>
        <w:spacing w:after="0" w:line="480" w:lineRule="auto"/>
        <w:rPr>
          <w:rFonts w:ascii="Times New Roman" w:hAnsi="Times New Roman" w:cs="Times New Roman"/>
          <w:sz w:val="24"/>
          <w:szCs w:val="24"/>
          <w:rtl/>
          <w:lang w:val="en-US"/>
        </w:rPr>
      </w:pPr>
    </w:p>
    <w:p w:rsidR="00D33A7C" w:rsidRPr="00DA0DE2" w:rsidRDefault="00D33A7C" w:rsidP="00D33A7C">
      <w:pPr>
        <w:bidi/>
        <w:spacing w:after="0" w:line="480" w:lineRule="auto"/>
        <w:rPr>
          <w:rFonts w:ascii="Times New Roman" w:hAnsi="Times New Roman" w:cs="Times New Roman"/>
          <w:sz w:val="24"/>
          <w:szCs w:val="24"/>
          <w:lang w:val="en-US" w:bidi="ar-TN"/>
        </w:rPr>
      </w:pPr>
      <w:r w:rsidRPr="00DA0DE2">
        <w:rPr>
          <w:rFonts w:ascii="Times New Roman" w:hAnsi="Times New Roman" w:cs="Times New Roman"/>
          <w:sz w:val="24"/>
          <w:szCs w:val="24"/>
          <w:rtl/>
          <w:lang w:val="en-US"/>
        </w:rPr>
        <w:t>وقد حرص المؤلف على توثيق معلوماته في الهوامش التي ذيلت معظم الصفحات و قائمة المراجع التي اختتم بها الكتاب. كما حاول تنسيق المعلومات تحت عناوين رئيسية و فرعية. و لكن تجدر الإشارة إلى أن النسخة الإلكترونية المتاحة على شبكة المعلومات العالمية تفتقد لبعض الفصول و لقائمة المراجع.</w:t>
      </w:r>
    </w:p>
    <w:p w:rsidR="00D33A7C" w:rsidRPr="00DA0DE2" w:rsidRDefault="00D33A7C" w:rsidP="00D33A7C">
      <w:pPr>
        <w:bidi/>
        <w:spacing w:after="0" w:line="480" w:lineRule="auto"/>
        <w:rPr>
          <w:rFonts w:ascii="Times New Roman" w:hAnsi="Times New Roman" w:cs="Times New Roman"/>
          <w:sz w:val="24"/>
          <w:szCs w:val="24"/>
          <w:lang w:val="en-US" w:bidi="ar-TN"/>
        </w:rPr>
      </w:pPr>
    </w:p>
    <w:p w:rsidR="00D33A7C" w:rsidRPr="00DA0DE2" w:rsidRDefault="00D33A7C" w:rsidP="00D33A7C">
      <w:pPr>
        <w:bidi/>
        <w:spacing w:after="0" w:line="480" w:lineRule="auto"/>
        <w:rPr>
          <w:rFonts w:ascii="Times New Roman" w:hAnsi="Times New Roman" w:cs="Times New Roman"/>
          <w:sz w:val="24"/>
          <w:szCs w:val="24"/>
          <w:lang w:val="en-US" w:bidi="ar-TN"/>
        </w:rPr>
      </w:pPr>
      <w:r w:rsidRPr="00DA0DE2">
        <w:rPr>
          <w:rFonts w:ascii="Times New Roman" w:hAnsi="Times New Roman" w:cs="Times New Roman"/>
          <w:sz w:val="24"/>
          <w:szCs w:val="24"/>
          <w:rtl/>
          <w:lang w:val="en-US"/>
        </w:rPr>
        <w:t>داليا صبري</w:t>
      </w:r>
    </w:p>
    <w:sectPr w:rsidR="00D33A7C"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CE"/>
    <w:rsid w:val="000071C0"/>
    <w:rsid w:val="00083E80"/>
    <w:rsid w:val="001B39B2"/>
    <w:rsid w:val="004523C0"/>
    <w:rsid w:val="00665EC9"/>
    <w:rsid w:val="00696877"/>
    <w:rsid w:val="006C6B50"/>
    <w:rsid w:val="00791238"/>
    <w:rsid w:val="00B52665"/>
    <w:rsid w:val="00D33A7C"/>
    <w:rsid w:val="00EF29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7"/>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2015-02-23T14:24:00Z</dcterms:created>
  <dcterms:modified xsi:type="dcterms:W3CDTF">2015-06-10T13:16:00Z</dcterms:modified>
</cp:coreProperties>
</file>